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FF3D0" w14:textId="77777777" w:rsidR="003B2142" w:rsidRPr="00FD2248" w:rsidRDefault="003B2142" w:rsidP="003B2142">
      <w:pPr>
        <w:tabs>
          <w:tab w:val="left" w:pos="720"/>
          <w:tab w:val="right" w:pos="9000"/>
        </w:tabs>
        <w:spacing w:after="80"/>
        <w:ind w:firstLine="0"/>
        <w:jc w:val="center"/>
        <w:rPr>
          <w:color w:val="000000"/>
          <w:sz w:val="28"/>
          <w:szCs w:val="24"/>
        </w:rPr>
      </w:pPr>
      <w:r w:rsidRPr="00FD2248">
        <w:rPr>
          <w:b/>
          <w:color w:val="000000"/>
          <w:sz w:val="32"/>
          <w:szCs w:val="28"/>
        </w:rPr>
        <w:t>Abbreviations</w:t>
      </w:r>
    </w:p>
    <w:p w14:paraId="4269674D" w14:textId="77777777" w:rsidR="003B2142" w:rsidRPr="00925F43" w:rsidRDefault="003B2142" w:rsidP="003B2142">
      <w:pPr>
        <w:tabs>
          <w:tab w:val="right" w:pos="9000"/>
        </w:tabs>
        <w:ind w:firstLine="0"/>
        <w:rPr>
          <w:color w:val="000000"/>
          <w:sz w:val="28"/>
          <w:szCs w:val="28"/>
        </w:rPr>
      </w:pPr>
    </w:p>
    <w:p w14:paraId="60ACCEA9" w14:textId="77777777" w:rsidR="003B2142" w:rsidRDefault="003B2142" w:rsidP="003B2142">
      <w:pPr>
        <w:tabs>
          <w:tab w:val="left" w:pos="720"/>
          <w:tab w:val="right" w:pos="9000"/>
        </w:tabs>
        <w:spacing w:after="80"/>
        <w:ind w:firstLine="0"/>
        <w:rPr>
          <w:color w:val="000000"/>
          <w:szCs w:val="24"/>
        </w:rPr>
      </w:pPr>
      <w:r w:rsidRPr="00AA7F1C">
        <w:rPr>
          <w:color w:val="000000"/>
          <w:szCs w:val="24"/>
        </w:rPr>
        <w:t>For convenience of use this listing of abbreviations is sub-divided into</w:t>
      </w:r>
      <w:r>
        <w:rPr>
          <w:color w:val="000000"/>
          <w:szCs w:val="24"/>
        </w:rPr>
        <w:t xml:space="preserve"> </w:t>
      </w:r>
      <w:r w:rsidRPr="00AA7F1C">
        <w:rPr>
          <w:color w:val="000000"/>
          <w:szCs w:val="24"/>
        </w:rPr>
        <w:t>abbreviations</w:t>
      </w:r>
      <w:r>
        <w:rPr>
          <w:color w:val="000000"/>
          <w:szCs w:val="24"/>
        </w:rPr>
        <w:t xml:space="preserve"> for</w:t>
      </w:r>
      <w:r w:rsidRPr="00AA7F1C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  <w:t>journals and related items</w:t>
      </w:r>
      <w:r w:rsidRPr="00AA7F1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  <w:t>Purāṇas</w:t>
      </w:r>
      <w:r w:rsidRPr="00AA7F1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</w:r>
      <w:r w:rsidRPr="00AA7F1C">
        <w:rPr>
          <w:color w:val="000000"/>
          <w:szCs w:val="24"/>
        </w:rPr>
        <w:t>ot</w:t>
      </w:r>
      <w:r>
        <w:rPr>
          <w:color w:val="000000"/>
          <w:szCs w:val="24"/>
        </w:rPr>
        <w:t>her texts and secondary sources</w:t>
      </w:r>
      <w:r w:rsidRPr="00AA7F1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</w:r>
      <w:r>
        <w:rPr>
          <w:color w:val="000000"/>
          <w:szCs w:val="24"/>
        </w:rPr>
        <w:tab/>
      </w:r>
      <w:r w:rsidRPr="00AA7F1C">
        <w:rPr>
          <w:color w:val="000000"/>
          <w:szCs w:val="24"/>
        </w:rPr>
        <w:t>museums and similar institutions</w:t>
      </w:r>
    </w:p>
    <w:p w14:paraId="6081137E" w14:textId="77777777" w:rsidR="003B2142" w:rsidRPr="00AA7F1C" w:rsidRDefault="003B2142" w:rsidP="003B2142">
      <w:pPr>
        <w:tabs>
          <w:tab w:val="left" w:pos="720"/>
          <w:tab w:val="right" w:pos="9000"/>
        </w:tabs>
        <w:spacing w:after="80"/>
        <w:ind w:firstLine="0"/>
        <w:rPr>
          <w:color w:val="000000"/>
          <w:szCs w:val="24"/>
        </w:rPr>
      </w:pPr>
      <w:r>
        <w:rPr>
          <w:color w:val="000000"/>
          <w:szCs w:val="24"/>
        </w:rPr>
        <w:t>Besides the standard abbreviations (cf., etc. – not listed), we have used our initials (JLB, MB) to refer to ourselves and our publications</w:t>
      </w:r>
    </w:p>
    <w:p w14:paraId="52D5AA67" w14:textId="77777777" w:rsidR="003B2142" w:rsidRPr="00925F43" w:rsidRDefault="003B2142" w:rsidP="003B2142">
      <w:pPr>
        <w:tabs>
          <w:tab w:val="right" w:pos="9000"/>
        </w:tabs>
        <w:ind w:firstLine="0"/>
        <w:rPr>
          <w:color w:val="000000"/>
          <w:sz w:val="28"/>
          <w:szCs w:val="28"/>
        </w:rPr>
      </w:pPr>
    </w:p>
    <w:p w14:paraId="69F72541" w14:textId="77777777" w:rsidR="003B2142" w:rsidRPr="00925F43" w:rsidRDefault="003B2142" w:rsidP="003B2142">
      <w:pPr>
        <w:tabs>
          <w:tab w:val="right" w:pos="9000"/>
        </w:tabs>
        <w:spacing w:after="80"/>
        <w:ind w:left="720" w:hanging="720"/>
        <w:jc w:val="center"/>
        <w:rPr>
          <w:i/>
          <w:color w:val="000000"/>
          <w:sz w:val="28"/>
          <w:szCs w:val="28"/>
        </w:rPr>
      </w:pPr>
      <w:r w:rsidRPr="0092755F">
        <w:rPr>
          <w:b/>
          <w:color w:val="000000"/>
          <w:sz w:val="28"/>
          <w:szCs w:val="28"/>
        </w:rPr>
        <w:t>Abbreviations</w:t>
      </w:r>
      <w:r w:rsidRPr="00925F43">
        <w:rPr>
          <w:b/>
          <w:i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(j</w:t>
      </w:r>
      <w:r w:rsidRPr="00925F43">
        <w:rPr>
          <w:b/>
          <w:color w:val="000000"/>
          <w:sz w:val="28"/>
          <w:szCs w:val="28"/>
        </w:rPr>
        <w:t>ournals</w:t>
      </w:r>
      <w:r>
        <w:rPr>
          <w:b/>
          <w:color w:val="000000"/>
          <w:sz w:val="28"/>
          <w:szCs w:val="28"/>
        </w:rPr>
        <w:t xml:space="preserve"> and related items)</w:t>
      </w:r>
    </w:p>
    <w:p w14:paraId="495D27C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AA</w:t>
      </w:r>
      <w:r w:rsidRPr="00925F43">
        <w:rPr>
          <w:i/>
          <w:color w:val="000000"/>
          <w:szCs w:val="24"/>
        </w:rPr>
        <w:tab/>
        <w:t>Artibus Asiae</w:t>
      </w:r>
    </w:p>
    <w:p w14:paraId="15CBA5C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ABORI</w:t>
      </w:r>
      <w:r w:rsidRPr="00925F43">
        <w:rPr>
          <w:i/>
          <w:color w:val="000000"/>
          <w:szCs w:val="24"/>
        </w:rPr>
        <w:tab/>
        <w:t>Annals of the Bhandarkar Oriental Research Institute</w:t>
      </w:r>
    </w:p>
    <w:p w14:paraId="40A2BA4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AFS</w:t>
      </w:r>
      <w:r w:rsidRPr="00925F43">
        <w:rPr>
          <w:i/>
          <w:color w:val="000000"/>
          <w:szCs w:val="24"/>
        </w:rPr>
        <w:tab/>
        <w:t>Asian Folklore Studies</w:t>
      </w:r>
    </w:p>
    <w:p w14:paraId="3DCFFA9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AITM</w:t>
      </w:r>
      <w:r w:rsidRPr="00925F43">
        <w:rPr>
          <w:color w:val="000000"/>
          <w:szCs w:val="24"/>
        </w:rPr>
        <w:tab/>
        <w:t>Ancient Indian Tradition and Mythology</w:t>
      </w:r>
    </w:p>
    <w:p w14:paraId="6ECE89A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AJPh</w:t>
      </w:r>
      <w:r w:rsidRPr="00925F43">
        <w:rPr>
          <w:i/>
          <w:color w:val="000000"/>
          <w:szCs w:val="24"/>
        </w:rPr>
        <w:tab/>
        <w:t>American Journal of Philology</w:t>
      </w:r>
    </w:p>
    <w:p w14:paraId="0483374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ALB</w:t>
      </w:r>
      <w:r w:rsidRPr="00925F43">
        <w:rPr>
          <w:i/>
          <w:color w:val="000000"/>
          <w:szCs w:val="24"/>
        </w:rPr>
        <w:tab/>
        <w:t>Adyar Library Bulletin</w:t>
      </w:r>
    </w:p>
    <w:p w14:paraId="38ECDC2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AO</w:t>
      </w:r>
      <w:r w:rsidRPr="00925F43">
        <w:rPr>
          <w:i/>
          <w:color w:val="000000"/>
          <w:szCs w:val="24"/>
        </w:rPr>
        <w:tab/>
        <w:t>Archı̀v Orientálnı̀</w:t>
      </w:r>
    </w:p>
    <w:p w14:paraId="71C604C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AORM</w:t>
      </w:r>
      <w:r w:rsidRPr="00925F43">
        <w:rPr>
          <w:i/>
          <w:color w:val="000000"/>
          <w:szCs w:val="24"/>
        </w:rPr>
        <w:tab/>
        <w:t>Annals of Oriental Research, Madras</w:t>
      </w:r>
    </w:p>
    <w:p w14:paraId="54B22CDE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rFonts w:cs="Gentium"/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AS</w:t>
      </w:r>
      <w:r w:rsidRPr="00925F43">
        <w:rPr>
          <w:i/>
          <w:color w:val="000000"/>
          <w:szCs w:val="24"/>
        </w:rPr>
        <w:tab/>
        <w:t>Asiatische Studien / Etudes Asiatiques</w:t>
      </w:r>
    </w:p>
    <w:p w14:paraId="5270341D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BDCRI</w:t>
      </w:r>
      <w:r w:rsidRPr="00925F43">
        <w:rPr>
          <w:i/>
          <w:color w:val="000000"/>
          <w:szCs w:val="24"/>
        </w:rPr>
        <w:tab/>
        <w:t>Bulletin of the Deccan College Research Institute</w:t>
      </w:r>
    </w:p>
    <w:p w14:paraId="358C12D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BEFEO</w:t>
      </w:r>
      <w:r w:rsidRPr="00925F43">
        <w:rPr>
          <w:i/>
          <w:color w:val="000000"/>
          <w:szCs w:val="24"/>
        </w:rPr>
        <w:tab/>
        <w:t>Bulletin de l’École Française d’Extrême Orient</w:t>
      </w:r>
    </w:p>
    <w:p w14:paraId="59BC18A0" w14:textId="43963E4F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BEI</w:t>
      </w:r>
      <w:r w:rsidRPr="00925F43">
        <w:rPr>
          <w:i/>
          <w:color w:val="000000"/>
          <w:szCs w:val="24"/>
        </w:rPr>
        <w:tab/>
        <w:t>Bulletin d’Études Indiennes</w:t>
      </w:r>
    </w:p>
    <w:p w14:paraId="20098D6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BIS</w:t>
      </w:r>
      <w:r w:rsidRPr="00925F43">
        <w:rPr>
          <w:i/>
          <w:color w:val="000000"/>
          <w:szCs w:val="24"/>
        </w:rPr>
        <w:tab/>
        <w:t>Berliner Indologische Studien</w:t>
      </w:r>
    </w:p>
    <w:p w14:paraId="2981F1F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720" w:hanging="72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BKI</w:t>
      </w:r>
      <w:r w:rsidRPr="00925F43">
        <w:rPr>
          <w:i/>
          <w:color w:val="000000"/>
          <w:szCs w:val="24"/>
        </w:rPr>
        <w:tab/>
      </w:r>
      <w:r w:rsidRPr="00925F43">
        <w:rPr>
          <w:i/>
          <w:color w:val="000000"/>
          <w:szCs w:val="24"/>
        </w:rPr>
        <w:tab/>
        <w:t xml:space="preserve">Bijdragen Tot de Taal-, Land- en Volkenkunde van Nederlandsch-Indië </w:t>
      </w:r>
    </w:p>
    <w:p w14:paraId="792BA8B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BORI</w:t>
      </w:r>
      <w:r w:rsidRPr="00925F43">
        <w:rPr>
          <w:color w:val="000000"/>
          <w:szCs w:val="24"/>
        </w:rPr>
        <w:tab/>
        <w:t>Bhandarkar Oriental Research Institute</w:t>
      </w:r>
    </w:p>
    <w:p w14:paraId="1AF4E34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B.R. PC</w:t>
      </w:r>
      <w:r w:rsidRPr="00925F43">
        <w:rPr>
          <w:i/>
          <w:color w:val="000000"/>
          <w:szCs w:val="24"/>
        </w:rPr>
        <w:tab/>
      </w:r>
      <w:r w:rsidRPr="00925F43">
        <w:rPr>
          <w:color w:val="000000"/>
          <w:szCs w:val="24"/>
        </w:rPr>
        <w:t>B.R. Publishing Corporation</w:t>
      </w:r>
    </w:p>
    <w:p w14:paraId="3FBFF07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BSOAS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Bulletin of the School of Oriental and African Studies</w:t>
      </w:r>
    </w:p>
    <w:p w14:paraId="4177C3C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BSOS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Bulletin of the School of Oriental Studies</w:t>
      </w:r>
    </w:p>
    <w:p w14:paraId="2A9E103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720" w:hanging="72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CIS</w:t>
      </w:r>
      <w:r w:rsidRPr="00925F43">
        <w:rPr>
          <w:i/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Contributions to Indian Sociology (Delhi)</w:t>
      </w:r>
    </w:p>
    <w:p w14:paraId="0CE0076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720" w:hanging="720"/>
        <w:rPr>
          <w:color w:val="000000"/>
          <w:szCs w:val="24"/>
        </w:rPr>
      </w:pPr>
      <w:r w:rsidRPr="00925F43">
        <w:rPr>
          <w:color w:val="000000"/>
          <w:szCs w:val="24"/>
        </w:rPr>
        <w:t>DICSEP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  <w:t>Dubrovnik International Conference on the Sanskrit Epics and Purāṇas</w:t>
      </w:r>
    </w:p>
    <w:p w14:paraId="0989184C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DOT</w:t>
      </w:r>
      <w:r w:rsidRPr="00925F43">
        <w:rPr>
          <w:color w:val="000000"/>
          <w:szCs w:val="24"/>
        </w:rPr>
        <w:tab/>
        <w:t>Deutscher Orientalistentag</w:t>
      </w:r>
    </w:p>
    <w:p w14:paraId="6B75C43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EFEO</w:t>
      </w:r>
      <w:r w:rsidRPr="00925F43">
        <w:rPr>
          <w:color w:val="000000"/>
          <w:szCs w:val="24"/>
        </w:rPr>
        <w:tab/>
        <w:t>École Française d’Extrême Orient</w:t>
      </w:r>
    </w:p>
    <w:p w14:paraId="1FF5836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EPB</w:t>
      </w:r>
      <w:r w:rsidRPr="00925F43">
        <w:rPr>
          <w:i/>
          <w:color w:val="000000"/>
          <w:szCs w:val="24"/>
        </w:rPr>
        <w:tab/>
        <w:t>Epic and Purāṇic Bibliography (up to 1985)</w:t>
      </w:r>
    </w:p>
    <w:p w14:paraId="28BF691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FFC</w:t>
      </w:r>
      <w:r w:rsidRPr="00925F43">
        <w:rPr>
          <w:color w:val="000000"/>
          <w:szCs w:val="24"/>
        </w:rPr>
        <w:tab/>
        <w:t>Folklore Fellows Communications</w:t>
      </w:r>
    </w:p>
    <w:p w14:paraId="522EE98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HR</w:t>
      </w:r>
      <w:r w:rsidRPr="00925F43">
        <w:rPr>
          <w:i/>
          <w:color w:val="000000"/>
          <w:szCs w:val="24"/>
        </w:rPr>
        <w:tab/>
        <w:t>History of Religions</w:t>
      </w:r>
    </w:p>
    <w:p w14:paraId="6CC0A70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IA</w:t>
      </w:r>
      <w:r w:rsidRPr="00925F43">
        <w:rPr>
          <w:i/>
          <w:color w:val="000000"/>
          <w:szCs w:val="24"/>
        </w:rPr>
        <w:tab/>
        <w:t>Indian Antiquary</w:t>
      </w:r>
    </w:p>
    <w:p w14:paraId="35D53F24" w14:textId="77777777" w:rsidR="003B2142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IAR</w:t>
      </w:r>
      <w:r w:rsidRPr="00925F43">
        <w:rPr>
          <w:i/>
          <w:color w:val="000000"/>
          <w:szCs w:val="24"/>
        </w:rPr>
        <w:tab/>
        <w:t>Indian Archaeology, a Review</w:t>
      </w:r>
    </w:p>
    <w:p w14:paraId="50E42284" w14:textId="77777777" w:rsidR="003B2142" w:rsidRPr="00E40610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>
        <w:rPr>
          <w:color w:val="000000"/>
          <w:szCs w:val="24"/>
        </w:rPr>
        <w:t>IASS</w:t>
      </w:r>
      <w:r>
        <w:rPr>
          <w:color w:val="000000"/>
          <w:szCs w:val="24"/>
        </w:rPr>
        <w:tab/>
        <w:t>International Association of Sanskrit Studies</w:t>
      </w:r>
    </w:p>
    <w:p w14:paraId="5B0D050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IHQ</w:t>
      </w:r>
      <w:r w:rsidRPr="00925F43">
        <w:rPr>
          <w:i/>
          <w:color w:val="000000"/>
          <w:szCs w:val="24"/>
        </w:rPr>
        <w:tab/>
        <w:t>Indian Historical Quarterly</w:t>
      </w:r>
    </w:p>
    <w:p w14:paraId="1D85FC8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IIJ</w:t>
      </w:r>
      <w:r w:rsidRPr="00925F43">
        <w:rPr>
          <w:i/>
          <w:color w:val="000000"/>
          <w:szCs w:val="24"/>
        </w:rPr>
        <w:tab/>
        <w:t>Indo-Iranian Journal</w:t>
      </w:r>
    </w:p>
    <w:p w14:paraId="3834FED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rFonts w:eastAsia="Times" w:cs="Gentium"/>
          <w:color w:val="000000"/>
          <w:szCs w:val="24"/>
          <w:lang w:bidi="x-none"/>
        </w:rPr>
      </w:pPr>
      <w:r w:rsidRPr="00925F43">
        <w:rPr>
          <w:i/>
          <w:color w:val="000000"/>
          <w:szCs w:val="24"/>
        </w:rPr>
        <w:lastRenderedPageBreak/>
        <w:t>IJHS</w:t>
      </w:r>
      <w:r w:rsidRPr="00925F43">
        <w:rPr>
          <w:i/>
          <w:color w:val="000000"/>
          <w:szCs w:val="24"/>
        </w:rPr>
        <w:tab/>
        <w:t>International Journal of Hindu Studies</w:t>
      </w:r>
    </w:p>
    <w:p w14:paraId="6420478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Ind. Ling.</w:t>
      </w:r>
      <w:r w:rsidRPr="00925F43">
        <w:rPr>
          <w:i/>
          <w:color w:val="000000"/>
          <w:szCs w:val="24"/>
        </w:rPr>
        <w:tab/>
        <w:t>Indian Linguistics</w:t>
      </w:r>
    </w:p>
    <w:p w14:paraId="456406D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INQ</w:t>
      </w:r>
      <w:r w:rsidRPr="00925F43">
        <w:rPr>
          <w:i/>
          <w:color w:val="000000"/>
          <w:szCs w:val="24"/>
        </w:rPr>
        <w:tab/>
        <w:t>Indian Notes and Queries</w:t>
      </w:r>
    </w:p>
    <w:p w14:paraId="2966496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IT</w:t>
      </w:r>
      <w:r w:rsidRPr="00925F43">
        <w:rPr>
          <w:i/>
          <w:color w:val="000000"/>
          <w:szCs w:val="24"/>
        </w:rPr>
        <w:tab/>
        <w:t>Indologica Taurinensia</w:t>
      </w:r>
    </w:p>
    <w:p w14:paraId="541BE21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</w:t>
      </w:r>
      <w:r w:rsidRPr="00925F43">
        <w:rPr>
          <w:i/>
          <w:color w:val="000000"/>
          <w:szCs w:val="24"/>
        </w:rPr>
        <w:tab/>
        <w:t>Journal Asiatique</w:t>
      </w:r>
    </w:p>
    <w:p w14:paraId="4CBC8F9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JAAR</w:t>
      </w:r>
      <w:r w:rsidRPr="00925F43">
        <w:rPr>
          <w:i/>
          <w:color w:val="000000"/>
          <w:szCs w:val="24"/>
        </w:rPr>
        <w:tab/>
        <w:t>Journal of the American Academy of Religion</w:t>
      </w:r>
    </w:p>
    <w:p w14:paraId="78DDD03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JAIH</w:t>
      </w:r>
      <w:r w:rsidRPr="00925F43">
        <w:rPr>
          <w:i/>
          <w:color w:val="000000"/>
          <w:szCs w:val="24"/>
        </w:rPr>
        <w:tab/>
        <w:t>Journal of Ancient Indian History</w:t>
      </w:r>
    </w:p>
    <w:p w14:paraId="708A0D4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 xml:space="preserve">JAOS </w:t>
      </w:r>
      <w:r w:rsidRPr="00925F43">
        <w:rPr>
          <w:i/>
          <w:color w:val="000000"/>
          <w:szCs w:val="24"/>
        </w:rPr>
        <w:tab/>
        <w:t>Journal of the American Oriental Society</w:t>
      </w:r>
    </w:p>
    <w:p w14:paraId="7B2C05ED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JAsianS</w:t>
      </w:r>
      <w:r w:rsidRPr="00925F43">
        <w:rPr>
          <w:i/>
          <w:color w:val="000000"/>
          <w:szCs w:val="24"/>
        </w:rPr>
        <w:tab/>
        <w:t>Journal of Asian Studies (Ann Arbor, MI)</w:t>
      </w:r>
    </w:p>
    <w:p w14:paraId="62EC4AA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JAssamRS</w:t>
      </w:r>
      <w:r w:rsidRPr="00925F43">
        <w:rPr>
          <w:i/>
          <w:color w:val="000000"/>
          <w:szCs w:val="24"/>
        </w:rPr>
        <w:tab/>
        <w:t>Journal of the Assam Research Society (Gauhati)</w:t>
      </w:r>
    </w:p>
    <w:p w14:paraId="1DF90F1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JAS Bengal</w:t>
      </w:r>
      <w:r w:rsidRPr="00925F43">
        <w:rPr>
          <w:i/>
          <w:color w:val="000000"/>
          <w:szCs w:val="24"/>
        </w:rPr>
        <w:tab/>
        <w:t>Journal of the Asiatic Society of Bengal</w:t>
      </w:r>
      <w:r w:rsidRPr="00925F43">
        <w:rPr>
          <w:color w:val="000000"/>
          <w:szCs w:val="24"/>
        </w:rPr>
        <w:t xml:space="preserve"> n.s.</w:t>
      </w:r>
    </w:p>
    <w:p w14:paraId="76C482B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JAS Bombay</w:t>
      </w:r>
      <w:r w:rsidRPr="00925F43">
        <w:rPr>
          <w:i/>
          <w:color w:val="000000"/>
          <w:szCs w:val="24"/>
        </w:rPr>
        <w:tab/>
        <w:t>Journal of the Asiatic Society of Bombay</w:t>
      </w:r>
    </w:p>
    <w:p w14:paraId="6BD7FB3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JAS Calcutta</w:t>
      </w:r>
      <w:r w:rsidRPr="00925F43">
        <w:rPr>
          <w:i/>
          <w:color w:val="000000"/>
          <w:szCs w:val="24"/>
        </w:rPr>
        <w:tab/>
        <w:t>Journal of the Asiatic Society, Calcutta</w:t>
      </w:r>
      <w:r w:rsidRPr="00925F43">
        <w:rPr>
          <w:color w:val="000000"/>
          <w:szCs w:val="24"/>
        </w:rPr>
        <w:t xml:space="preserve"> (3rd series)</w:t>
      </w:r>
    </w:p>
    <w:p w14:paraId="57CCC77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JBiharRS</w:t>
      </w:r>
      <w:r w:rsidRPr="00925F43">
        <w:rPr>
          <w:i/>
          <w:color w:val="000000"/>
          <w:szCs w:val="24"/>
        </w:rPr>
        <w:tab/>
        <w:t>Journal of the Bihar Research Society</w:t>
      </w:r>
    </w:p>
    <w:p w14:paraId="660C13E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JGJKSV</w:t>
      </w:r>
      <w:r w:rsidRPr="00925F43">
        <w:rPr>
          <w:i/>
          <w:color w:val="000000"/>
          <w:szCs w:val="24"/>
        </w:rPr>
        <w:tab/>
        <w:t>Journal of the Ganganatha Jha Kendriya Sanskrita Vidyapeetha</w:t>
      </w:r>
    </w:p>
    <w:p w14:paraId="7863E37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JGJRI</w:t>
      </w:r>
      <w:r w:rsidRPr="00925F43">
        <w:rPr>
          <w:i/>
          <w:color w:val="000000"/>
          <w:szCs w:val="24"/>
        </w:rPr>
        <w:tab/>
        <w:t>Journal of the Ganganath Jha Research Institute</w:t>
      </w:r>
    </w:p>
    <w:p w14:paraId="2B1B7EE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JIH</w:t>
      </w:r>
      <w:r w:rsidRPr="00925F43">
        <w:rPr>
          <w:i/>
          <w:color w:val="000000"/>
          <w:szCs w:val="24"/>
        </w:rPr>
        <w:tab/>
        <w:t>Journal of Indian History</w:t>
      </w:r>
    </w:p>
    <w:p w14:paraId="58DFBF2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JIPh</w:t>
      </w:r>
      <w:r w:rsidRPr="00925F43">
        <w:rPr>
          <w:i/>
          <w:color w:val="000000"/>
          <w:szCs w:val="24"/>
        </w:rPr>
        <w:tab/>
        <w:t>Journal of Indian Philosophy</w:t>
      </w:r>
    </w:p>
    <w:p w14:paraId="1AB427B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JOIB</w:t>
      </w:r>
      <w:r w:rsidRPr="00925F43">
        <w:rPr>
          <w:i/>
          <w:color w:val="000000"/>
          <w:szCs w:val="24"/>
        </w:rPr>
        <w:tab/>
        <w:t>Journal of the Oriental Institute, Baroda</w:t>
      </w:r>
    </w:p>
    <w:p w14:paraId="0C6438F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JORM</w:t>
      </w:r>
      <w:r w:rsidRPr="00925F43">
        <w:rPr>
          <w:i/>
          <w:color w:val="000000"/>
          <w:szCs w:val="24"/>
        </w:rPr>
        <w:tab/>
        <w:t>Journal of Oriental Research, Madras</w:t>
      </w:r>
    </w:p>
    <w:p w14:paraId="7BEA89B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JRAS</w:t>
      </w:r>
      <w:r w:rsidRPr="00925F43">
        <w:rPr>
          <w:i/>
          <w:color w:val="000000"/>
          <w:szCs w:val="24"/>
        </w:rPr>
        <w:tab/>
        <w:t>Journal of the Royal Asiatic Society</w:t>
      </w:r>
    </w:p>
    <w:p w14:paraId="6FB2027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JRAS Bengal</w:t>
      </w:r>
      <w:r w:rsidRPr="00925F43">
        <w:rPr>
          <w:color w:val="000000"/>
          <w:szCs w:val="24"/>
        </w:rPr>
        <w:t xml:space="preserve"> 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Journal of the Royal Asiatic Society</w:t>
      </w:r>
      <w:r w:rsidRPr="00925F43">
        <w:rPr>
          <w:color w:val="000000"/>
          <w:szCs w:val="24"/>
        </w:rPr>
        <w:t xml:space="preserve"> </w:t>
      </w:r>
      <w:r w:rsidRPr="00925F43">
        <w:rPr>
          <w:i/>
          <w:color w:val="000000"/>
          <w:szCs w:val="24"/>
        </w:rPr>
        <w:t xml:space="preserve">of Bengal </w:t>
      </w:r>
      <w:r w:rsidRPr="00925F43">
        <w:rPr>
          <w:color w:val="000000"/>
          <w:szCs w:val="24"/>
        </w:rPr>
        <w:t>(3rd series)</w:t>
      </w:r>
    </w:p>
    <w:p w14:paraId="1B15E9CD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JStraits Branch</w:t>
      </w:r>
      <w:r w:rsidRPr="00925F43">
        <w:rPr>
          <w:i/>
          <w:color w:val="000000"/>
          <w:szCs w:val="24"/>
        </w:rPr>
        <w:tab/>
        <w:t xml:space="preserve">Journal of the Straits Branch, RAS </w:t>
      </w:r>
      <w:r w:rsidRPr="00925F43">
        <w:rPr>
          <w:color w:val="000000"/>
          <w:szCs w:val="24"/>
        </w:rPr>
        <w:t>(Singapore)</w:t>
      </w:r>
    </w:p>
    <w:p w14:paraId="32B70B1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JSS</w:t>
      </w:r>
      <w:r w:rsidRPr="00925F43">
        <w:rPr>
          <w:i/>
          <w:color w:val="000000"/>
          <w:szCs w:val="24"/>
        </w:rPr>
        <w:tab/>
        <w:t>Journal of the Siam Society</w:t>
      </w:r>
      <w:r w:rsidRPr="00925F43">
        <w:rPr>
          <w:color w:val="000000"/>
          <w:szCs w:val="24"/>
        </w:rPr>
        <w:t xml:space="preserve"> (Bangkok</w:t>
      </w:r>
      <w:r w:rsidRPr="00925F43">
        <w:rPr>
          <w:i/>
          <w:color w:val="000000"/>
          <w:szCs w:val="24"/>
        </w:rPr>
        <w:t>)</w:t>
      </w:r>
      <w:r w:rsidRPr="00925F43">
        <w:rPr>
          <w:i/>
          <w:color w:val="000000"/>
          <w:szCs w:val="24"/>
        </w:rPr>
        <w:br/>
      </w:r>
      <w:r w:rsidRPr="00925F43">
        <w:rPr>
          <w:i/>
          <w:color w:val="000000"/>
          <w:szCs w:val="24"/>
        </w:rPr>
        <w:tab/>
      </w:r>
      <w:r w:rsidRPr="00925F43">
        <w:rPr>
          <w:color w:val="000000"/>
          <w:szCs w:val="24"/>
        </w:rPr>
        <w:t xml:space="preserve">[successor to </w:t>
      </w:r>
      <w:r w:rsidRPr="00925F43">
        <w:rPr>
          <w:i/>
          <w:color w:val="000000"/>
          <w:szCs w:val="24"/>
        </w:rPr>
        <w:t>Journal of the Thailand Research Society</w:t>
      </w:r>
      <w:r w:rsidRPr="00925F43">
        <w:rPr>
          <w:color w:val="000000"/>
          <w:szCs w:val="24"/>
        </w:rPr>
        <w:t>]</w:t>
      </w:r>
    </w:p>
    <w:p w14:paraId="3331D60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JUBombay</w:t>
      </w:r>
      <w:r w:rsidRPr="00925F43">
        <w:rPr>
          <w:i/>
          <w:color w:val="000000"/>
          <w:szCs w:val="24"/>
        </w:rPr>
        <w:tab/>
        <w:t>Journal of the University of Bombay</w:t>
      </w:r>
      <w:r w:rsidRPr="00925F43">
        <w:rPr>
          <w:color w:val="000000"/>
          <w:szCs w:val="24"/>
        </w:rPr>
        <w:t xml:space="preserve"> (n.s.)</w:t>
      </w:r>
    </w:p>
    <w:p w14:paraId="19ECFF3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JVS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Journal of Vaishnava Studies</w:t>
      </w:r>
    </w:p>
    <w:p w14:paraId="3406F88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KS</w:t>
      </w:r>
      <w:r w:rsidRPr="00925F43">
        <w:rPr>
          <w:i/>
          <w:color w:val="000000"/>
          <w:szCs w:val="24"/>
        </w:rPr>
        <w:tab/>
        <w:t>Kleine Schriften</w:t>
      </w:r>
    </w:p>
    <w:p w14:paraId="0A794B4E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NIA</w:t>
      </w:r>
      <w:r w:rsidRPr="00925F43">
        <w:rPr>
          <w:i/>
          <w:color w:val="000000"/>
          <w:szCs w:val="24"/>
        </w:rPr>
        <w:tab/>
        <w:t>New Indian Antiquary</w:t>
      </w:r>
    </w:p>
    <w:p w14:paraId="6A4AB74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NINQ</w:t>
      </w:r>
      <w:r w:rsidRPr="00925F43">
        <w:rPr>
          <w:i/>
          <w:color w:val="000000"/>
          <w:szCs w:val="24"/>
        </w:rPr>
        <w:tab/>
        <w:t>North Indian Notes and Queries</w:t>
      </w:r>
    </w:p>
    <w:p w14:paraId="4F6593EE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NQ</w:t>
      </w:r>
      <w:r w:rsidRPr="00925F43">
        <w:rPr>
          <w:i/>
          <w:color w:val="000000"/>
          <w:szCs w:val="24"/>
        </w:rPr>
        <w:tab/>
        <w:t>Notes and Queries</w:t>
      </w:r>
    </w:p>
    <w:p w14:paraId="06E8DE5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Or. Sue.</w:t>
      </w:r>
      <w:r w:rsidRPr="00925F43">
        <w:rPr>
          <w:i/>
          <w:color w:val="000000"/>
          <w:szCs w:val="24"/>
        </w:rPr>
        <w:tab/>
        <w:t>Orientalia Suecana</w:t>
      </w:r>
    </w:p>
    <w:p w14:paraId="2EA6710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OLZ</w:t>
      </w:r>
      <w:r w:rsidRPr="00925F43">
        <w:rPr>
          <w:i/>
          <w:color w:val="000000"/>
          <w:szCs w:val="24"/>
        </w:rPr>
        <w:tab/>
        <w:t>Orientalistische Literaturzeitung</w:t>
      </w:r>
    </w:p>
    <w:p w14:paraId="424A963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OUP</w:t>
      </w:r>
      <w:r w:rsidRPr="00925F43">
        <w:rPr>
          <w:color w:val="000000"/>
          <w:szCs w:val="24"/>
        </w:rPr>
        <w:tab/>
        <w:t>Oxford University Press</w:t>
      </w:r>
    </w:p>
    <w:p w14:paraId="4272C90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PNQ</w:t>
      </w:r>
      <w:r w:rsidRPr="00925F43">
        <w:rPr>
          <w:i/>
          <w:color w:val="000000"/>
          <w:szCs w:val="24"/>
        </w:rPr>
        <w:tab/>
        <w:t>Panjab Notes and Queries</w:t>
      </w:r>
    </w:p>
    <w:p w14:paraId="4896D8B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720" w:hanging="72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PO</w:t>
      </w:r>
      <w:r w:rsidRPr="00925F43">
        <w:rPr>
          <w:i/>
          <w:color w:val="000000"/>
          <w:szCs w:val="24"/>
        </w:rPr>
        <w:tab/>
      </w:r>
      <w:r w:rsidRPr="00925F43">
        <w:rPr>
          <w:i/>
          <w:color w:val="000000"/>
          <w:szCs w:val="24"/>
        </w:rPr>
        <w:tab/>
        <w:t>Poona Orientalist</w:t>
      </w:r>
    </w:p>
    <w:p w14:paraId="5E05207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720" w:hanging="72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PTAIOC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  <w:lang w:bidi="x-none"/>
        </w:rPr>
        <w:t>Proceedings and Transactions of the [no.] All-India Oriental Conference</w:t>
      </w:r>
    </w:p>
    <w:p w14:paraId="05BBB80C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QJMS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Quarterly Journal of the Mythic Society</w:t>
      </w:r>
      <w:r w:rsidRPr="00925F43">
        <w:rPr>
          <w:color w:val="000000"/>
          <w:szCs w:val="24"/>
        </w:rPr>
        <w:t xml:space="preserve"> (Bangalore, n.s.)</w:t>
      </w:r>
    </w:p>
    <w:p w14:paraId="0D90620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RAS</w:t>
      </w:r>
      <w:r w:rsidRPr="00925F43">
        <w:rPr>
          <w:color w:val="000000"/>
          <w:szCs w:val="24"/>
        </w:rPr>
        <w:tab/>
        <w:t>Royal Asiatic Society</w:t>
      </w:r>
    </w:p>
    <w:p w14:paraId="770D6CD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RO</w:t>
      </w:r>
      <w:r w:rsidRPr="00925F43">
        <w:rPr>
          <w:i/>
          <w:color w:val="000000"/>
          <w:szCs w:val="24"/>
        </w:rPr>
        <w:tab/>
        <w:t>Rocznik Orientalistyczny</w:t>
      </w:r>
    </w:p>
    <w:p w14:paraId="5914C30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lastRenderedPageBreak/>
        <w:t>RoSA</w:t>
      </w:r>
      <w:r w:rsidRPr="00925F43">
        <w:rPr>
          <w:i/>
          <w:color w:val="000000"/>
          <w:szCs w:val="24"/>
        </w:rPr>
        <w:tab/>
        <w:t>Religions of South Asia</w:t>
      </w:r>
    </w:p>
    <w:p w14:paraId="0C8ABE6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SA</w:t>
      </w:r>
      <w:r w:rsidRPr="00925F43">
        <w:rPr>
          <w:i/>
          <w:color w:val="000000"/>
          <w:szCs w:val="24"/>
        </w:rPr>
        <w:tab/>
        <w:t>South Asia:  Journal of South Asian Studies (Nedlands, Western Australia)</w:t>
      </w:r>
    </w:p>
    <w:p w14:paraId="41B86877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SOAS</w:t>
      </w:r>
      <w:r w:rsidRPr="00925F43">
        <w:rPr>
          <w:color w:val="000000"/>
          <w:szCs w:val="24"/>
        </w:rPr>
        <w:tab/>
        <w:t>School of Oriental and African Studies</w:t>
      </w:r>
    </w:p>
    <w:p w14:paraId="5A8C634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SPAFA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 xml:space="preserve">SPAFA Journal: A Publication of the SEAMEO Regional Centre for Archaeology and </w:t>
      </w:r>
      <w:r>
        <w:rPr>
          <w:i/>
          <w:color w:val="000000"/>
          <w:szCs w:val="24"/>
        </w:rPr>
        <w:tab/>
      </w:r>
      <w:r w:rsidRPr="00925F43">
        <w:rPr>
          <w:i/>
          <w:color w:val="000000"/>
          <w:szCs w:val="24"/>
        </w:rPr>
        <w:t xml:space="preserve">Fine Arts </w:t>
      </w:r>
      <w:r w:rsidRPr="00925F43">
        <w:rPr>
          <w:color w:val="000000"/>
          <w:szCs w:val="24"/>
        </w:rPr>
        <w:t>(Bangkok)</w:t>
      </w:r>
    </w:p>
    <w:p w14:paraId="56C9E15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SR</w:t>
      </w:r>
      <w:r w:rsidRPr="00925F43">
        <w:rPr>
          <w:i/>
          <w:color w:val="000000"/>
          <w:szCs w:val="24"/>
        </w:rPr>
        <w:tab/>
        <w:t>Studies in Religion / Sciences religieuses</w:t>
      </w:r>
    </w:p>
    <w:p w14:paraId="19D720E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StII</w:t>
      </w:r>
      <w:r w:rsidRPr="00925F43">
        <w:rPr>
          <w:i/>
          <w:color w:val="000000"/>
          <w:szCs w:val="24"/>
        </w:rPr>
        <w:tab/>
        <w:t>Studien zur Indologie und Iranistik</w:t>
      </w:r>
      <w:r w:rsidRPr="00925F43">
        <w:rPr>
          <w:color w:val="000000"/>
          <w:szCs w:val="24"/>
        </w:rPr>
        <w:t xml:space="preserve"> </w:t>
      </w:r>
    </w:p>
    <w:p w14:paraId="6D14E96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St. Ind. Th.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Studies in the History of Indian Thought</w:t>
      </w:r>
    </w:p>
    <w:p w14:paraId="564BA8F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SUNY</w:t>
      </w:r>
      <w:r w:rsidRPr="00925F43">
        <w:rPr>
          <w:color w:val="000000"/>
          <w:szCs w:val="24"/>
        </w:rPr>
        <w:tab/>
        <w:t>State University of New York Press</w:t>
      </w:r>
    </w:p>
    <w:p w14:paraId="6B40001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color w:val="000000"/>
          <w:szCs w:val="24"/>
        </w:rPr>
      </w:pPr>
      <w:r w:rsidRPr="00925F43">
        <w:rPr>
          <w:i/>
          <w:color w:val="000000"/>
          <w:szCs w:val="24"/>
        </w:rPr>
        <w:t>TITLV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Tijdschrift voor Indische Taal-, Land- en Volkenkunde</w:t>
      </w:r>
    </w:p>
    <w:p w14:paraId="1150961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WSC</w:t>
      </w:r>
      <w:r w:rsidRPr="00925F43">
        <w:rPr>
          <w:color w:val="000000"/>
          <w:szCs w:val="24"/>
        </w:rPr>
        <w:tab/>
        <w:t>World Sanskrit Conference</w:t>
      </w:r>
    </w:p>
    <w:p w14:paraId="5B9A2C6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WZKM</w:t>
      </w:r>
      <w:r w:rsidRPr="00925F43">
        <w:rPr>
          <w:i/>
          <w:color w:val="000000"/>
          <w:szCs w:val="24"/>
        </w:rPr>
        <w:tab/>
        <w:t>Wiener Zeitschrift für die Kunde des Morgenlandes</w:t>
      </w:r>
    </w:p>
    <w:p w14:paraId="44A6023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WZKS</w:t>
      </w:r>
      <w:r w:rsidRPr="00925F43">
        <w:rPr>
          <w:i/>
          <w:color w:val="000000"/>
          <w:szCs w:val="24"/>
        </w:rPr>
        <w:tab/>
        <w:t>Wiener Zeitschrift für die Kunde Südasiens</w:t>
      </w:r>
    </w:p>
    <w:p w14:paraId="2FAF1A6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WZKSO</w:t>
      </w:r>
      <w:r w:rsidRPr="00925F43">
        <w:rPr>
          <w:i/>
          <w:color w:val="000000"/>
          <w:szCs w:val="24"/>
        </w:rPr>
        <w:tab/>
        <w:t>Wiener Zeitschrift für die Kunde Süd- und Ostasiens</w:t>
      </w:r>
    </w:p>
    <w:p w14:paraId="6B94738C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ZDMG</w:t>
      </w:r>
      <w:r w:rsidRPr="00925F43">
        <w:rPr>
          <w:i/>
          <w:color w:val="000000"/>
          <w:szCs w:val="24"/>
        </w:rPr>
        <w:tab/>
        <w:t>Zeitschrift der Deutschen Morgenländischen Gesellschaft</w:t>
      </w:r>
    </w:p>
    <w:p w14:paraId="3921C06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firstLine="0"/>
        <w:rPr>
          <w:i/>
          <w:color w:val="000000"/>
          <w:szCs w:val="24"/>
        </w:rPr>
      </w:pPr>
    </w:p>
    <w:p w14:paraId="5EDF7467" w14:textId="77777777" w:rsidR="003B2142" w:rsidRPr="00925F43" w:rsidRDefault="003B2142" w:rsidP="003B2142">
      <w:pPr>
        <w:pageBreakBefore/>
        <w:tabs>
          <w:tab w:val="right" w:pos="9000"/>
        </w:tabs>
        <w:spacing w:after="173"/>
        <w:ind w:left="720" w:hanging="720"/>
        <w:jc w:val="center"/>
        <w:rPr>
          <w:color w:val="000000"/>
          <w:sz w:val="28"/>
          <w:szCs w:val="28"/>
        </w:rPr>
      </w:pPr>
      <w:r w:rsidRPr="0092755F">
        <w:rPr>
          <w:b/>
          <w:color w:val="000000"/>
          <w:sz w:val="28"/>
          <w:szCs w:val="28"/>
        </w:rPr>
        <w:lastRenderedPageBreak/>
        <w:t>Abbreviations</w:t>
      </w:r>
      <w:r w:rsidRPr="00925F43">
        <w:rPr>
          <w:b/>
          <w:i/>
          <w:color w:val="000000"/>
          <w:sz w:val="28"/>
          <w:szCs w:val="28"/>
        </w:rPr>
        <w:t xml:space="preserve"> </w:t>
      </w:r>
      <w:r w:rsidRPr="00925F43">
        <w:rPr>
          <w:b/>
          <w:color w:val="000000"/>
          <w:sz w:val="28"/>
          <w:szCs w:val="28"/>
        </w:rPr>
        <w:t>(</w:t>
      </w:r>
      <w:r w:rsidRPr="00925F43">
        <w:rPr>
          <w:b/>
          <w:i/>
          <w:iCs/>
          <w:color w:val="000000"/>
          <w:sz w:val="28"/>
          <w:szCs w:val="28"/>
        </w:rPr>
        <w:t>Purāṇas</w:t>
      </w:r>
      <w:r w:rsidRPr="00925F43">
        <w:rPr>
          <w:b/>
          <w:color w:val="000000"/>
          <w:sz w:val="28"/>
          <w:szCs w:val="28"/>
        </w:rPr>
        <w:t>)</w:t>
      </w:r>
    </w:p>
    <w:p w14:paraId="3D8181B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ĀdiP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Ādi Purāṇa</w:t>
      </w:r>
    </w:p>
    <w:p w14:paraId="2C5A0B5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AgP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Agni Purāṇa</w:t>
      </w:r>
    </w:p>
    <w:p w14:paraId="1571FBD9" w14:textId="77777777" w:rsidR="003B2142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BhāgP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Bhāgavata Purāṇa</w:t>
      </w:r>
    </w:p>
    <w:p w14:paraId="50D7753E" w14:textId="77777777" w:rsidR="003B2142" w:rsidRPr="00412319" w:rsidRDefault="003B2142" w:rsidP="003B2142">
      <w:pPr>
        <w:spacing w:after="80"/>
        <w:ind w:firstLine="0"/>
        <w:rPr>
          <w:rFonts w:eastAsia="MS Mincho"/>
          <w:color w:val="000000"/>
        </w:rPr>
      </w:pPr>
      <w:r w:rsidRPr="00412319">
        <w:t>BhārgP:</w:t>
      </w:r>
      <w:r w:rsidRPr="00412319">
        <w:tab/>
      </w:r>
      <w:r w:rsidRPr="00412319">
        <w:rPr>
          <w:rFonts w:eastAsia="MS Mincho"/>
        </w:rPr>
        <w:t>Bhārgava Purāṇa</w:t>
      </w:r>
    </w:p>
    <w:p w14:paraId="74B9BB50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rFonts w:eastAsia="MS Mincho"/>
          <w:color w:val="000000"/>
          <w:szCs w:val="24"/>
        </w:rPr>
        <w:t>BhvP</w:t>
      </w:r>
      <w:r w:rsidRPr="00925F43">
        <w:rPr>
          <w:rFonts w:eastAsia="MS Mincho"/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Bhaviṣya Purāṇa</w:t>
      </w:r>
    </w:p>
    <w:p w14:paraId="1453EC91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BṛDhP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Bṛhaddharma Purāṇa</w:t>
      </w:r>
    </w:p>
    <w:p w14:paraId="72A73DEE" w14:textId="77777777" w:rsidR="003B2142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BrP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Brahma Purāṇa</w:t>
      </w:r>
    </w:p>
    <w:p w14:paraId="14FFC9B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E333B9">
        <w:t>BrP, GM:</w:t>
      </w:r>
      <w:r w:rsidRPr="00E333B9">
        <w:tab/>
      </w:r>
      <w:r w:rsidRPr="00E333B9">
        <w:rPr>
          <w:i/>
        </w:rPr>
        <w:t>Brahma Purāṇa, Gautamīmāhātmya</w:t>
      </w:r>
    </w:p>
    <w:p w14:paraId="33E9A3C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BVP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Brahmavaivarta Purāṇa</w:t>
      </w:r>
    </w:p>
    <w:p w14:paraId="253CFBA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DBhāgP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Devībhāgavata Purāṇa</w:t>
      </w:r>
    </w:p>
    <w:p w14:paraId="2F8E56BC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EkP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 xml:space="preserve">Ekāmra Purāṇa </w:t>
      </w:r>
    </w:p>
    <w:p w14:paraId="02A23ED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GaP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Garuḍa</w:t>
      </w:r>
      <w:r w:rsidRPr="00925F43">
        <w:rPr>
          <w:color w:val="000000"/>
          <w:szCs w:val="24"/>
        </w:rPr>
        <w:t xml:space="preserve"> </w:t>
      </w:r>
      <w:r w:rsidRPr="00925F43">
        <w:rPr>
          <w:i/>
          <w:color w:val="000000"/>
          <w:szCs w:val="24"/>
        </w:rPr>
        <w:t>Purāṇa</w:t>
      </w:r>
    </w:p>
    <w:p w14:paraId="2550AD9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GṇP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Gaṇeśa Purāṇa</w:t>
      </w:r>
    </w:p>
    <w:p w14:paraId="231F851F" w14:textId="77777777" w:rsidR="003B2142" w:rsidRPr="00925F43" w:rsidRDefault="003B2142" w:rsidP="003B2142">
      <w:pPr>
        <w:tabs>
          <w:tab w:val="left" w:pos="720"/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JaiSa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Jaiminīyasaṃhitā</w:t>
      </w:r>
      <w:r w:rsidRPr="00925F43">
        <w:rPr>
          <w:color w:val="000000"/>
          <w:szCs w:val="24"/>
        </w:rPr>
        <w:t xml:space="preserve"> (ascribed to the </w:t>
      </w:r>
      <w:r w:rsidRPr="00925F43">
        <w:rPr>
          <w:i/>
          <w:color w:val="000000"/>
          <w:szCs w:val="24"/>
        </w:rPr>
        <w:t>Brahmāṇḍapurāṇa</w:t>
      </w:r>
      <w:r w:rsidRPr="00925F43">
        <w:rPr>
          <w:color w:val="000000"/>
          <w:szCs w:val="24"/>
        </w:rPr>
        <w:t>)</w:t>
      </w:r>
    </w:p>
    <w:p w14:paraId="0B42C0E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KāP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Kālikā Purāṇa</w:t>
      </w:r>
      <w:r w:rsidRPr="00925F43">
        <w:rPr>
          <w:color w:val="000000"/>
          <w:szCs w:val="24"/>
        </w:rPr>
        <w:t xml:space="preserve"> </w:t>
      </w:r>
    </w:p>
    <w:p w14:paraId="1AEEC15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kh.</w:t>
      </w:r>
      <w:r w:rsidRPr="00925F43">
        <w:rPr>
          <w:i/>
          <w:color w:val="000000"/>
          <w:szCs w:val="24"/>
        </w:rPr>
        <w:tab/>
      </w:r>
      <w:r w:rsidRPr="00925F43">
        <w:rPr>
          <w:i/>
          <w:color w:val="000000"/>
          <w:szCs w:val="24"/>
        </w:rPr>
        <w:tab/>
        <w:t>khaṇḍa</w:t>
      </w:r>
    </w:p>
    <w:p w14:paraId="547D2B7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KkP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Kalki Purāṇa</w:t>
      </w:r>
    </w:p>
    <w:p w14:paraId="60FA02F2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KūP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Kūrma Purāṇa</w:t>
      </w:r>
    </w:p>
    <w:p w14:paraId="724FE204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LiP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Liṅga Purāṇa</w:t>
      </w:r>
      <w:r w:rsidRPr="00925F43">
        <w:rPr>
          <w:color w:val="000000"/>
          <w:szCs w:val="24"/>
        </w:rPr>
        <w:t xml:space="preserve"> </w:t>
      </w:r>
    </w:p>
    <w:p w14:paraId="7D9EA710" w14:textId="77777777" w:rsidR="003B2142" w:rsidRPr="00925F43" w:rsidRDefault="003B2142" w:rsidP="003B2142">
      <w:pPr>
        <w:tabs>
          <w:tab w:val="left" w:pos="720"/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MBhāgP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Mahābhāgavata</w:t>
      </w:r>
      <w:r w:rsidRPr="00925F43">
        <w:rPr>
          <w:color w:val="000000"/>
          <w:szCs w:val="24"/>
        </w:rPr>
        <w:t xml:space="preserve"> </w:t>
      </w:r>
      <w:r w:rsidRPr="00925F43">
        <w:rPr>
          <w:i/>
          <w:color w:val="000000"/>
          <w:szCs w:val="24"/>
        </w:rPr>
        <w:t>Purāṇa</w:t>
      </w:r>
    </w:p>
    <w:p w14:paraId="4A7C1B81" w14:textId="77777777" w:rsidR="003B2142" w:rsidRPr="00925F43" w:rsidRDefault="003B2142" w:rsidP="003B2142">
      <w:pPr>
        <w:tabs>
          <w:tab w:val="left" w:pos="720"/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MtP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Matsya Purāṇa</w:t>
      </w:r>
      <w:r w:rsidRPr="00925F43">
        <w:rPr>
          <w:color w:val="000000"/>
          <w:szCs w:val="24"/>
        </w:rPr>
        <w:t xml:space="preserve"> </w:t>
      </w:r>
    </w:p>
    <w:p w14:paraId="1638061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MudP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Mudgala Purāṇa</w:t>
      </w:r>
    </w:p>
    <w:p w14:paraId="7E4EA59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NarSP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Narasiṃha</w:t>
      </w:r>
      <w:r w:rsidRPr="00925F43">
        <w:rPr>
          <w:color w:val="000000"/>
          <w:szCs w:val="24"/>
        </w:rPr>
        <w:t xml:space="preserve"> </w:t>
      </w:r>
      <w:r w:rsidRPr="00925F43">
        <w:rPr>
          <w:i/>
          <w:color w:val="000000"/>
          <w:szCs w:val="24"/>
        </w:rPr>
        <w:t>Purāṇa</w:t>
      </w:r>
      <w:r w:rsidRPr="00925F43">
        <w:rPr>
          <w:b/>
          <w:color w:val="000000"/>
          <w:szCs w:val="24"/>
        </w:rPr>
        <w:t xml:space="preserve"> </w:t>
      </w:r>
    </w:p>
    <w:p w14:paraId="2A32F6F5" w14:textId="77777777" w:rsidR="003B2142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NāP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Nāradīya Purāṇa</w:t>
      </w:r>
    </w:p>
    <w:p w14:paraId="0038E6E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E36A19">
        <w:t>NmtP:</w:t>
      </w:r>
      <w:r w:rsidRPr="00E36A19">
        <w:tab/>
      </w:r>
      <w:r w:rsidRPr="00E36A19">
        <w:rPr>
          <w:i/>
        </w:rPr>
        <w:t>Nīlamata Purāṇa</w:t>
      </w:r>
    </w:p>
    <w:p w14:paraId="21FEF3D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PdP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Padma Purāṇa</w:t>
      </w:r>
    </w:p>
    <w:p w14:paraId="4CDDB40F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SauP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Saura Purāṇa</w:t>
      </w:r>
    </w:p>
    <w:p w14:paraId="70517EB6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ŚiP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Śiva Purāṇa</w:t>
      </w:r>
    </w:p>
    <w:p w14:paraId="0176EF1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SkP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Skanda Purāṇa</w:t>
      </w:r>
    </w:p>
    <w:p w14:paraId="4ABF69F9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VahniP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Vahni Purāṇa</w:t>
      </w:r>
      <w:r w:rsidRPr="00925F43">
        <w:rPr>
          <w:color w:val="000000"/>
          <w:szCs w:val="24"/>
        </w:rPr>
        <w:t xml:space="preserve"> </w:t>
      </w:r>
    </w:p>
    <w:p w14:paraId="2C5151C5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VāP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Vāyu Purāṇa</w:t>
      </w:r>
    </w:p>
    <w:p w14:paraId="46BACF7A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VarP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Varāha Purāṇa</w:t>
      </w:r>
    </w:p>
    <w:p w14:paraId="07B65E28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VDhP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Viṣṇudharmottara Purāṇa</w:t>
      </w:r>
    </w:p>
    <w:p w14:paraId="7A46C80B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ViP</w:t>
      </w:r>
      <w:r w:rsidRPr="00925F43">
        <w:rPr>
          <w:color w:val="000000"/>
          <w:szCs w:val="24"/>
        </w:rPr>
        <w:tab/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>Viṣṇu Purāṇa</w:t>
      </w:r>
      <w:r w:rsidRPr="00925F43">
        <w:rPr>
          <w:color w:val="000000"/>
          <w:szCs w:val="24"/>
        </w:rPr>
        <w:t xml:space="preserve"> </w:t>
      </w:r>
    </w:p>
    <w:p w14:paraId="087551F3" w14:textId="77777777" w:rsidR="003B2142" w:rsidRPr="00925F43" w:rsidRDefault="003B2142" w:rsidP="003B2142">
      <w:pPr>
        <w:tabs>
          <w:tab w:val="left" w:pos="1440"/>
          <w:tab w:val="right" w:pos="9000"/>
        </w:tabs>
        <w:spacing w:after="80"/>
        <w:ind w:left="360" w:hanging="360"/>
        <w:rPr>
          <w:color w:val="000000"/>
          <w:szCs w:val="24"/>
        </w:rPr>
      </w:pPr>
      <w:r w:rsidRPr="00925F43">
        <w:rPr>
          <w:color w:val="000000"/>
          <w:szCs w:val="24"/>
        </w:rPr>
        <w:t>VmP</w:t>
      </w:r>
      <w:r w:rsidRPr="00925F43">
        <w:rPr>
          <w:color w:val="000000"/>
          <w:szCs w:val="24"/>
        </w:rPr>
        <w:tab/>
      </w:r>
      <w:r w:rsidRPr="00925F43">
        <w:rPr>
          <w:i/>
          <w:color w:val="000000"/>
          <w:szCs w:val="24"/>
        </w:rPr>
        <w:t xml:space="preserve">Vāmana Purāṇa </w:t>
      </w:r>
    </w:p>
    <w:p w14:paraId="17D585D0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left="360" w:hanging="360"/>
        <w:rPr>
          <w:color w:val="000000"/>
          <w:szCs w:val="24"/>
        </w:rPr>
      </w:pPr>
    </w:p>
    <w:p w14:paraId="757B2851" w14:textId="77777777" w:rsidR="003B2142" w:rsidRPr="00584700" w:rsidRDefault="003B2142" w:rsidP="003B2142">
      <w:pPr>
        <w:pageBreakBefore/>
        <w:tabs>
          <w:tab w:val="right" w:pos="9000"/>
        </w:tabs>
        <w:spacing w:after="240"/>
        <w:ind w:firstLine="0"/>
        <w:jc w:val="center"/>
        <w:rPr>
          <w:rFonts w:cs="Gentium"/>
          <w:b/>
          <w:color w:val="000000"/>
          <w:sz w:val="28"/>
          <w:szCs w:val="28"/>
        </w:rPr>
      </w:pPr>
      <w:r w:rsidRPr="00584700">
        <w:rPr>
          <w:b/>
          <w:color w:val="000000"/>
          <w:sz w:val="28"/>
          <w:szCs w:val="28"/>
        </w:rPr>
        <w:lastRenderedPageBreak/>
        <w:t>Abbreviations (</w:t>
      </w:r>
      <w:r w:rsidRPr="00584700">
        <w:rPr>
          <w:b/>
          <w:iCs/>
          <w:color w:val="000000"/>
          <w:sz w:val="28"/>
          <w:szCs w:val="28"/>
        </w:rPr>
        <w:t>other texts and secondary sources</w:t>
      </w:r>
      <w:r w:rsidRPr="00584700">
        <w:rPr>
          <w:b/>
          <w:color w:val="000000"/>
          <w:sz w:val="28"/>
          <w:szCs w:val="28"/>
        </w:rPr>
        <w:t>)</w:t>
      </w:r>
    </w:p>
    <w:p w14:paraId="10C6AEA1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>
        <w:rPr>
          <w:rFonts w:cs="Gentium"/>
          <w:i/>
          <w:color w:val="000000"/>
          <w:szCs w:val="24"/>
        </w:rPr>
        <w:t>Adhy.R</w:t>
      </w:r>
      <w:r>
        <w:rPr>
          <w:rFonts w:cs="Gentium"/>
          <w:i/>
          <w:color w:val="000000"/>
          <w:szCs w:val="24"/>
        </w:rPr>
        <w:tab/>
        <w:t>Adhyātma Rāmāyaṇa</w:t>
      </w:r>
    </w:p>
    <w:p w14:paraId="31260C10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>
        <w:rPr>
          <w:rFonts w:cs="Gentium"/>
          <w:i/>
          <w:color w:val="000000"/>
          <w:szCs w:val="24"/>
        </w:rPr>
        <w:t>Ānanda R</w:t>
      </w:r>
      <w:r>
        <w:rPr>
          <w:rFonts w:cs="Gentium"/>
          <w:i/>
          <w:color w:val="000000"/>
          <w:szCs w:val="24"/>
        </w:rPr>
        <w:tab/>
        <w:t>Ānanda Rāmāyaṇa</w:t>
      </w:r>
    </w:p>
    <w:p w14:paraId="1BA996C9" w14:textId="77777777" w:rsidR="003B2142" w:rsidRPr="006A712B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CE</w:t>
      </w:r>
      <w:r>
        <w:rPr>
          <w:rFonts w:cs="Gentium"/>
          <w:color w:val="000000"/>
          <w:szCs w:val="24"/>
        </w:rPr>
        <w:tab/>
        <w:t xml:space="preserve">Critical Edition (of </w:t>
      </w:r>
      <w:r>
        <w:rPr>
          <w:rFonts w:cs="Gentium"/>
          <w:i/>
          <w:color w:val="000000"/>
          <w:szCs w:val="24"/>
        </w:rPr>
        <w:t>MBh</w:t>
      </w:r>
      <w:r>
        <w:rPr>
          <w:rFonts w:cs="Gentium"/>
          <w:color w:val="000000"/>
          <w:szCs w:val="24"/>
        </w:rPr>
        <w:t xml:space="preserve"> or </w:t>
      </w:r>
      <w:r>
        <w:rPr>
          <w:rFonts w:cs="Gentium"/>
          <w:i/>
          <w:color w:val="000000"/>
          <w:szCs w:val="24"/>
        </w:rPr>
        <w:t>VR</w:t>
      </w:r>
      <w:r>
        <w:rPr>
          <w:rFonts w:cs="Gentium"/>
          <w:color w:val="000000"/>
          <w:szCs w:val="24"/>
        </w:rPr>
        <w:t>)</w:t>
      </w:r>
    </w:p>
    <w:p w14:paraId="540A4FBF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GM</w:t>
      </w:r>
      <w:r w:rsidRPr="00925F43">
        <w:rPr>
          <w:rFonts w:cs="Gentium"/>
          <w:i/>
          <w:color w:val="000000"/>
          <w:szCs w:val="24"/>
        </w:rPr>
        <w:tab/>
        <w:t xml:space="preserve">Gautamīmāhātmya </w:t>
      </w:r>
      <w:r w:rsidRPr="00925F43">
        <w:rPr>
          <w:rFonts w:cs="Gentium"/>
          <w:color w:val="000000"/>
          <w:szCs w:val="24"/>
        </w:rPr>
        <w:t>= BrP 70(.12)–175</w:t>
      </w:r>
    </w:p>
    <w:p w14:paraId="2AA22B1A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HMR</w:t>
      </w:r>
      <w:r w:rsidRPr="00925F43">
        <w:rPr>
          <w:rFonts w:cs="Gentium"/>
          <w:i/>
          <w:color w:val="000000"/>
          <w:szCs w:val="24"/>
        </w:rPr>
        <w:tab/>
        <w:t>Ḥikāyat Mahārāja Rāvaṇa</w:t>
      </w:r>
    </w:p>
    <w:p w14:paraId="2A5C60AF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i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HSR</w:t>
      </w:r>
      <w:r w:rsidRPr="00925F43">
        <w:rPr>
          <w:rFonts w:cs="Gentium"/>
          <w:i/>
          <w:color w:val="000000"/>
          <w:szCs w:val="24"/>
        </w:rPr>
        <w:tab/>
      </w:r>
      <w:r w:rsidRPr="00925F43">
        <w:rPr>
          <w:i/>
          <w:color w:val="000000"/>
          <w:szCs w:val="24"/>
        </w:rPr>
        <w:t>Ḥikāyat Srī Rāma</w:t>
      </w:r>
    </w:p>
    <w:p w14:paraId="34F5E40E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</w:t>
      </w:r>
      <w:r w:rsidRPr="00925F43">
        <w:rPr>
          <w:i/>
          <w:color w:val="000000"/>
          <w:szCs w:val="24"/>
        </w:rPr>
        <w:tab/>
        <w:t>Jātaka</w:t>
      </w:r>
    </w:p>
    <w:p w14:paraId="583AB5B1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 w:rsidRPr="00925F43">
        <w:rPr>
          <w:i/>
          <w:color w:val="000000"/>
          <w:szCs w:val="24"/>
        </w:rPr>
        <w:t>JaiBh</w:t>
      </w:r>
      <w:r w:rsidRPr="00925F43">
        <w:rPr>
          <w:i/>
          <w:color w:val="000000"/>
          <w:szCs w:val="24"/>
        </w:rPr>
        <w:tab/>
        <w:t>Jaimini Bhārata</w:t>
      </w:r>
    </w:p>
    <w:p w14:paraId="5F592183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KṛR</w:t>
      </w:r>
      <w:r w:rsidRPr="00925F43">
        <w:rPr>
          <w:rFonts w:cs="Gentium"/>
          <w:i/>
          <w:color w:val="000000"/>
          <w:szCs w:val="24"/>
        </w:rPr>
        <w:tab/>
        <w:t xml:space="preserve">Rāmāyaṇ </w:t>
      </w:r>
      <w:r w:rsidRPr="00925F43">
        <w:rPr>
          <w:rFonts w:cs="Gentium"/>
          <w:color w:val="000000"/>
          <w:szCs w:val="24"/>
        </w:rPr>
        <w:t>of Kṛttibās</w:t>
      </w:r>
    </w:p>
    <w:p w14:paraId="7967931A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MBh</w:t>
      </w:r>
      <w:r w:rsidRPr="00925F43">
        <w:rPr>
          <w:rFonts w:cs="Gentium"/>
          <w:i/>
          <w:color w:val="000000"/>
          <w:szCs w:val="24"/>
        </w:rPr>
        <w:tab/>
        <w:t>Mahābhārata</w:t>
      </w:r>
    </w:p>
    <w:p w14:paraId="15833798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MVC</w:t>
      </w:r>
      <w:r w:rsidRPr="00925F43">
        <w:rPr>
          <w:rFonts w:cs="Gentium"/>
          <w:i/>
          <w:color w:val="000000"/>
          <w:szCs w:val="24"/>
        </w:rPr>
        <w:tab/>
        <w:t>Mahāvīracarita</w:t>
      </w:r>
      <w:r w:rsidRPr="00925F43">
        <w:rPr>
          <w:rFonts w:cs="Gentium"/>
          <w:color w:val="000000"/>
          <w:szCs w:val="24"/>
        </w:rPr>
        <w:t xml:space="preserve"> of Bhavabhūti</w:t>
      </w:r>
    </w:p>
    <w:p w14:paraId="65F89277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OJ</w:t>
      </w:r>
      <w:r>
        <w:rPr>
          <w:rFonts w:cs="Gentium"/>
          <w:color w:val="000000"/>
          <w:szCs w:val="24"/>
        </w:rPr>
        <w:tab/>
        <w:t>Old Javanese</w:t>
      </w:r>
    </w:p>
    <w:p w14:paraId="0C17CDAE" w14:textId="77777777" w:rsidR="003B2142" w:rsidRPr="006225F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Rām.</w:t>
      </w:r>
      <w:r>
        <w:rPr>
          <w:rFonts w:cs="Gentium"/>
          <w:color w:val="000000"/>
          <w:szCs w:val="24"/>
        </w:rPr>
        <w:tab/>
        <w:t>Rāmāyaṇa version(s) – unspecified</w:t>
      </w:r>
    </w:p>
    <w:p w14:paraId="083A35A6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RCM</w:t>
      </w:r>
      <w:r w:rsidRPr="00925F43">
        <w:rPr>
          <w:rFonts w:cs="Gentium"/>
          <w:i/>
          <w:color w:val="000000"/>
          <w:szCs w:val="24"/>
        </w:rPr>
        <w:tab/>
        <w:t>Rāmcaritmānas</w:t>
      </w:r>
      <w:r w:rsidRPr="00925F43">
        <w:rPr>
          <w:rFonts w:cs="Gentium"/>
          <w:color w:val="000000"/>
          <w:szCs w:val="24"/>
        </w:rPr>
        <w:t xml:space="preserve"> of Tulsīdās</w:t>
      </w:r>
    </w:p>
    <w:p w14:paraId="3C28E5F1" w14:textId="77777777" w:rsidR="003B2142" w:rsidRPr="0091746C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i/>
          <w:color w:val="000000"/>
          <w:szCs w:val="24"/>
        </w:rPr>
        <w:t>RKakawin</w:t>
      </w:r>
      <w:r>
        <w:rPr>
          <w:rFonts w:cs="Gentium"/>
          <w:i/>
          <w:color w:val="000000"/>
          <w:szCs w:val="24"/>
        </w:rPr>
        <w:tab/>
        <w:t>Rāmāyaṇa Kakawin</w:t>
      </w:r>
      <w:r>
        <w:rPr>
          <w:rFonts w:cs="Gentium"/>
          <w:color w:val="000000"/>
          <w:szCs w:val="24"/>
        </w:rPr>
        <w:t xml:space="preserve"> (Old Javanese)</w:t>
      </w:r>
    </w:p>
    <w:p w14:paraId="080A10B7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RR</w:t>
      </w:r>
      <w:r w:rsidRPr="00925F43">
        <w:rPr>
          <w:rFonts w:cs="Gentium"/>
          <w:i/>
          <w:color w:val="000000"/>
          <w:szCs w:val="24"/>
        </w:rPr>
        <w:tab/>
        <w:t>Righteous Rāma</w:t>
      </w:r>
      <w:r w:rsidRPr="00925F43">
        <w:rPr>
          <w:rFonts w:cs="Gentium"/>
          <w:color w:val="000000"/>
          <w:szCs w:val="24"/>
        </w:rPr>
        <w:t xml:space="preserve"> (John Brockington 1985)</w:t>
      </w:r>
    </w:p>
    <w:p w14:paraId="052FFEDF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RU</w:t>
      </w:r>
      <w:r w:rsidRPr="00925F43">
        <w:rPr>
          <w:rFonts w:cs="Gentium"/>
          <w:i/>
          <w:color w:val="000000"/>
          <w:szCs w:val="24"/>
        </w:rPr>
        <w:tab/>
        <w:t xml:space="preserve">Rāmopākhyāna </w:t>
      </w:r>
      <w:r w:rsidRPr="00925F43">
        <w:rPr>
          <w:rFonts w:cs="Gentium"/>
          <w:color w:val="000000"/>
          <w:szCs w:val="24"/>
        </w:rPr>
        <w:t>(</w:t>
      </w:r>
      <w:r w:rsidRPr="00925F43">
        <w:rPr>
          <w:rFonts w:cs="Gentium"/>
          <w:i/>
          <w:color w:val="000000"/>
          <w:szCs w:val="24"/>
        </w:rPr>
        <w:t xml:space="preserve">MBh. </w:t>
      </w:r>
      <w:r w:rsidRPr="00925F43">
        <w:rPr>
          <w:rFonts w:cs="Gentium"/>
          <w:color w:val="000000"/>
          <w:szCs w:val="24"/>
        </w:rPr>
        <w:t>258-75)</w:t>
      </w:r>
    </w:p>
    <w:p w14:paraId="1D5161F1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URC</w:t>
      </w:r>
      <w:r w:rsidRPr="00925F43">
        <w:rPr>
          <w:rFonts w:cs="Gentium"/>
          <w:i/>
          <w:color w:val="000000"/>
          <w:szCs w:val="24"/>
        </w:rPr>
        <w:tab/>
        <w:t>Uttararāmacarita</w:t>
      </w:r>
      <w:r w:rsidRPr="00925F43">
        <w:rPr>
          <w:rFonts w:cs="Gentium"/>
          <w:color w:val="000000"/>
          <w:szCs w:val="24"/>
        </w:rPr>
        <w:t xml:space="preserve"> of Bhavabhūti</w:t>
      </w:r>
    </w:p>
    <w:p w14:paraId="5627257A" w14:textId="77777777" w:rsidR="003B2142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 w:rsidRPr="00925F43">
        <w:rPr>
          <w:rFonts w:cs="Gentium"/>
          <w:i/>
          <w:color w:val="000000"/>
          <w:szCs w:val="24"/>
        </w:rPr>
        <w:t>VR / VRm</w:t>
      </w:r>
      <w:r w:rsidRPr="00925F43">
        <w:rPr>
          <w:rFonts w:cs="Gentium"/>
          <w:i/>
          <w:color w:val="000000"/>
          <w:szCs w:val="24"/>
        </w:rPr>
        <w:tab/>
        <w:t>Vālmīki Rāmāyaṇa</w:t>
      </w:r>
    </w:p>
    <w:p w14:paraId="36D5ABBD" w14:textId="77777777" w:rsidR="003B2142" w:rsidRPr="00925F43" w:rsidRDefault="003B2142" w:rsidP="003B2142">
      <w:pPr>
        <w:tabs>
          <w:tab w:val="left" w:pos="1440"/>
          <w:tab w:val="right" w:pos="9000"/>
        </w:tabs>
        <w:spacing w:after="120"/>
        <w:ind w:firstLine="0"/>
        <w:rPr>
          <w:rFonts w:cs="Gentium"/>
          <w:i/>
          <w:color w:val="000000"/>
          <w:szCs w:val="24"/>
        </w:rPr>
      </w:pPr>
      <w:r>
        <w:rPr>
          <w:rFonts w:cs="Gentium"/>
          <w:i/>
          <w:color w:val="000000"/>
          <w:szCs w:val="24"/>
        </w:rPr>
        <w:t>YV</w:t>
      </w:r>
      <w:r>
        <w:rPr>
          <w:rFonts w:cs="Gentium"/>
          <w:i/>
          <w:color w:val="000000"/>
          <w:szCs w:val="24"/>
        </w:rPr>
        <w:tab/>
        <w:t>Yogavāsiṣṭha</w:t>
      </w:r>
    </w:p>
    <w:p w14:paraId="3E2A3326" w14:textId="77777777" w:rsidR="003B2142" w:rsidRPr="00584700" w:rsidRDefault="003B2142" w:rsidP="003B2142">
      <w:pPr>
        <w:pageBreakBefore/>
        <w:tabs>
          <w:tab w:val="right" w:pos="9000"/>
        </w:tabs>
        <w:spacing w:after="240"/>
        <w:ind w:left="720" w:hanging="720"/>
        <w:jc w:val="center"/>
        <w:rPr>
          <w:rFonts w:cs="Gentium"/>
          <w:b/>
          <w:color w:val="000000"/>
          <w:sz w:val="28"/>
          <w:szCs w:val="28"/>
        </w:rPr>
      </w:pPr>
      <w:r w:rsidRPr="00584700">
        <w:rPr>
          <w:b/>
          <w:color w:val="000000"/>
          <w:sz w:val="28"/>
          <w:szCs w:val="28"/>
        </w:rPr>
        <w:lastRenderedPageBreak/>
        <w:t>Abbreviations (</w:t>
      </w:r>
      <w:r w:rsidRPr="00584700">
        <w:rPr>
          <w:b/>
          <w:iCs/>
          <w:color w:val="000000"/>
          <w:sz w:val="28"/>
          <w:szCs w:val="28"/>
        </w:rPr>
        <w:t>museums and similar institutions</w:t>
      </w:r>
      <w:r w:rsidRPr="00584700">
        <w:rPr>
          <w:b/>
          <w:color w:val="000000"/>
          <w:sz w:val="28"/>
          <w:szCs w:val="28"/>
        </w:rPr>
        <w:t>)</w:t>
      </w:r>
    </w:p>
    <w:p w14:paraId="73F90933" w14:textId="77777777" w:rsidR="003B2142" w:rsidRDefault="003B2142" w:rsidP="003B2142">
      <w:pPr>
        <w:tabs>
          <w:tab w:val="left" w:pos="2160"/>
          <w:tab w:val="right" w:pos="9000"/>
        </w:tabs>
        <w:spacing w:after="80"/>
        <w:ind w:firstLine="0"/>
        <w:rPr>
          <w:color w:val="000000"/>
          <w:szCs w:val="24"/>
        </w:rPr>
      </w:pPr>
      <w:r>
        <w:rPr>
          <w:color w:val="000000"/>
          <w:szCs w:val="24"/>
        </w:rPr>
        <w:t>Ackland Mus.</w:t>
      </w:r>
      <w:r>
        <w:rPr>
          <w:color w:val="000000"/>
          <w:szCs w:val="24"/>
        </w:rPr>
        <w:tab/>
        <w:t>Ackland Art Museum, University of North Carolina at Chapel Hill</w:t>
      </w:r>
    </w:p>
    <w:p w14:paraId="33E2E5E9" w14:textId="77777777" w:rsidR="003B2142" w:rsidRPr="00AA7F1C" w:rsidRDefault="003B2142" w:rsidP="003B2142">
      <w:pPr>
        <w:tabs>
          <w:tab w:val="left" w:pos="2160"/>
          <w:tab w:val="right" w:pos="9000"/>
        </w:tabs>
        <w:spacing w:after="80"/>
        <w:ind w:firstLine="0"/>
        <w:rPr>
          <w:i/>
          <w:color w:val="000000"/>
          <w:szCs w:val="24"/>
        </w:rPr>
      </w:pPr>
      <w:r w:rsidRPr="00925F43">
        <w:rPr>
          <w:color w:val="000000"/>
          <w:szCs w:val="24"/>
        </w:rPr>
        <w:t>ACM</w:t>
      </w:r>
      <w:r w:rsidRPr="00925F43">
        <w:rPr>
          <w:color w:val="000000"/>
          <w:szCs w:val="24"/>
        </w:rPr>
        <w:tab/>
        <w:t>Asian Civilisations Museum, Singapore</w:t>
      </w:r>
    </w:p>
    <w:p w14:paraId="229AE334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Ash.Mus.</w:t>
      </w:r>
      <w:r w:rsidRPr="00925F43">
        <w:rPr>
          <w:rFonts w:cs="Gentium"/>
          <w:color w:val="000000"/>
          <w:szCs w:val="24"/>
        </w:rPr>
        <w:tab/>
        <w:t>Ashmolean Museum, Oxford</w:t>
      </w:r>
    </w:p>
    <w:p w14:paraId="2B0B0747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Asia Society</w:t>
      </w:r>
      <w:r w:rsidRPr="00925F43">
        <w:rPr>
          <w:rFonts w:cs="Gentium"/>
          <w:color w:val="000000"/>
          <w:szCs w:val="24"/>
        </w:rPr>
        <w:tab/>
        <w:t>Asia Society, New York, collection</w:t>
      </w:r>
    </w:p>
    <w:p w14:paraId="6122E9E9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(B)</w:t>
      </w:r>
      <w:r w:rsidRPr="00925F43">
        <w:rPr>
          <w:rFonts w:cs="Gentium"/>
          <w:color w:val="000000"/>
          <w:szCs w:val="24"/>
        </w:rPr>
        <w:tab/>
        <w:t>= Daljeet and Mathur 2013 (Brussels exhibition</w:t>
      </w:r>
      <w:r>
        <w:rPr>
          <w:rFonts w:cs="Gentium"/>
          <w:color w:val="000000"/>
          <w:szCs w:val="24"/>
        </w:rPr>
        <w:t>)</w:t>
      </w:r>
    </w:p>
    <w:p w14:paraId="1374758D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Baltimore</w:t>
      </w:r>
      <w:r w:rsidRPr="00925F43">
        <w:rPr>
          <w:rFonts w:cs="Gentium"/>
          <w:color w:val="000000"/>
          <w:szCs w:val="24"/>
        </w:rPr>
        <w:tab/>
        <w:t>Walters Art Museum, Baltimore</w:t>
      </w:r>
    </w:p>
    <w:p w14:paraId="75CE56E5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Bib.Nat.</w:t>
      </w:r>
      <w:r w:rsidRPr="00925F43">
        <w:rPr>
          <w:rFonts w:cs="Gentium"/>
          <w:color w:val="000000"/>
          <w:szCs w:val="24"/>
        </w:rPr>
        <w:tab/>
        <w:t>Bibliothèque Nationale, Paris</w:t>
      </w:r>
    </w:p>
    <w:p w14:paraId="07E883A2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Birla</w:t>
      </w:r>
      <w:r>
        <w:rPr>
          <w:rFonts w:cs="Gentium"/>
          <w:color w:val="000000"/>
          <w:szCs w:val="24"/>
        </w:rPr>
        <w:tab/>
        <w:t>Birla Academy of Art and Culture, Kolkata</w:t>
      </w:r>
    </w:p>
    <w:p w14:paraId="7E0E9BD0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BKB</w:t>
      </w:r>
      <w:r w:rsidRPr="00925F43">
        <w:rPr>
          <w:rFonts w:cs="Gentium"/>
          <w:color w:val="000000"/>
          <w:szCs w:val="24"/>
        </w:rPr>
        <w:tab/>
        <w:t>Bharat Kala Bhavan, Varanasi</w:t>
      </w:r>
    </w:p>
    <w:p w14:paraId="117C8316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BL</w:t>
      </w:r>
      <w:r w:rsidRPr="00925F43">
        <w:rPr>
          <w:rFonts w:cs="Gentium"/>
          <w:color w:val="000000"/>
          <w:szCs w:val="24"/>
        </w:rPr>
        <w:tab/>
        <w:t>British Library, London</w:t>
      </w:r>
    </w:p>
    <w:p w14:paraId="70BD94AB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Blohm</w:t>
      </w:r>
      <w:r w:rsidRPr="00925F43">
        <w:rPr>
          <w:rFonts w:cs="Gentium"/>
          <w:color w:val="000000"/>
          <w:szCs w:val="24"/>
        </w:rPr>
        <w:tab/>
        <w:t xml:space="preserve">items on </w:t>
      </w:r>
      <w:r w:rsidRPr="00684317">
        <w:rPr>
          <w:szCs w:val="24"/>
        </w:rPr>
        <w:t>www.indianminiaturepaintings.co.uk</w:t>
      </w:r>
    </w:p>
    <w:p w14:paraId="33FD4E5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BM</w:t>
      </w:r>
      <w:r w:rsidRPr="00925F43">
        <w:rPr>
          <w:rFonts w:cs="Gentium"/>
          <w:color w:val="000000"/>
          <w:szCs w:val="24"/>
        </w:rPr>
        <w:tab/>
        <w:t>British Museum, London</w:t>
      </w:r>
    </w:p>
    <w:p w14:paraId="17B45BD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(BM) M</w:t>
      </w:r>
      <w:r w:rsidRPr="00925F43">
        <w:rPr>
          <w:rFonts w:cs="Gentium"/>
          <w:color w:val="000000"/>
          <w:szCs w:val="24"/>
        </w:rPr>
        <w:tab/>
        <w:t>BM, Moor collection</w:t>
      </w:r>
    </w:p>
    <w:p w14:paraId="7B1F1197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Brooklyn</w:t>
      </w:r>
      <w:r>
        <w:rPr>
          <w:rFonts w:cs="Gentium"/>
          <w:color w:val="000000"/>
          <w:szCs w:val="24"/>
        </w:rPr>
        <w:tab/>
        <w:t>Brooklyn Museum, New York</w:t>
      </w:r>
    </w:p>
    <w:p w14:paraId="71F2BCD2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4C1492">
        <w:rPr>
          <w:rFonts w:cs="Gentium"/>
          <w:color w:val="000000"/>
          <w:szCs w:val="24"/>
        </w:rPr>
        <w:t>Chicago</w:t>
      </w:r>
      <w:r w:rsidRPr="004C1492">
        <w:rPr>
          <w:rFonts w:cs="Gentium"/>
          <w:color w:val="000000"/>
          <w:szCs w:val="24"/>
        </w:rPr>
        <w:tab/>
      </w:r>
      <w:r w:rsidRPr="004C1492">
        <w:rPr>
          <w:szCs w:val="24"/>
        </w:rPr>
        <w:t>Art Institute of Chicago</w:t>
      </w:r>
    </w:p>
    <w:p w14:paraId="048A26C0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Cincinatti</w:t>
      </w:r>
      <w:r w:rsidRPr="00925F43">
        <w:rPr>
          <w:rFonts w:cs="Gentium"/>
          <w:color w:val="000000"/>
          <w:szCs w:val="24"/>
        </w:rPr>
        <w:tab/>
        <w:t>Cincinatti Art Museum, Cincinatti, Ohio</w:t>
      </w:r>
    </w:p>
    <w:p w14:paraId="42FD3505" w14:textId="6092627D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Cleveland</w:t>
      </w:r>
      <w:r w:rsidRPr="00925F43">
        <w:rPr>
          <w:rFonts w:cs="Gentium"/>
          <w:color w:val="000000"/>
          <w:szCs w:val="24"/>
        </w:rPr>
        <w:tab/>
        <w:t>Cleveland Museum of Art</w:t>
      </w:r>
    </w:p>
    <w:p w14:paraId="6AD946A0" w14:textId="126747E6" w:rsidR="007D2F92" w:rsidRPr="00925F43" w:rsidRDefault="007D2F9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Cornell</w:t>
      </w:r>
      <w:r>
        <w:rPr>
          <w:rFonts w:cs="Gentium"/>
          <w:color w:val="000000"/>
          <w:szCs w:val="24"/>
        </w:rPr>
        <w:tab/>
        <w:t>Herbert F. Johnson Museum of Art, Cornell University</w:t>
      </w:r>
    </w:p>
    <w:p w14:paraId="06E7CD2C" w14:textId="13197DCB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CSMVS</w:t>
      </w:r>
      <w:r w:rsidRPr="00925F43">
        <w:rPr>
          <w:rFonts w:cs="Gentium"/>
          <w:color w:val="000000"/>
          <w:szCs w:val="24"/>
        </w:rPr>
        <w:tab/>
        <w:t>Chhatrapati</w:t>
      </w:r>
      <w:r w:rsidR="00354F2F">
        <w:rPr>
          <w:rFonts w:cs="Gentium"/>
          <w:color w:val="000000"/>
          <w:szCs w:val="24"/>
        </w:rPr>
        <w:t xml:space="preserve"> Shivaji</w:t>
      </w:r>
      <w:r w:rsidRPr="00925F43">
        <w:rPr>
          <w:rFonts w:cs="Gentium"/>
          <w:color w:val="000000"/>
          <w:szCs w:val="24"/>
        </w:rPr>
        <w:t xml:space="preserve"> Maharaj Vastu Sangrahalaya, Mumbai</w:t>
      </w:r>
    </w:p>
    <w:p w14:paraId="05B6C7FC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David coll.</w:t>
      </w:r>
      <w:r>
        <w:rPr>
          <w:rFonts w:cs="Gentium"/>
          <w:color w:val="000000"/>
          <w:szCs w:val="24"/>
        </w:rPr>
        <w:tab/>
        <w:t>David Collection, Copenhagen</w:t>
      </w:r>
    </w:p>
    <w:p w14:paraId="5022CE76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Ducrot coll.</w:t>
      </w:r>
      <w:r w:rsidRPr="00925F43">
        <w:rPr>
          <w:rFonts w:cs="Gentium"/>
          <w:color w:val="000000"/>
          <w:szCs w:val="24"/>
        </w:rPr>
        <w:tab/>
      </w:r>
      <w:r w:rsidRPr="00925F43">
        <w:rPr>
          <w:rFonts w:cs="Gentium"/>
          <w:b/>
          <w:color w:val="000000"/>
          <w:szCs w:val="24"/>
        </w:rPr>
        <w:t>see</w:t>
      </w:r>
      <w:r w:rsidRPr="00925F43">
        <w:rPr>
          <w:rFonts w:cs="Gentium"/>
          <w:color w:val="000000"/>
          <w:szCs w:val="24"/>
        </w:rPr>
        <w:t xml:space="preserve"> Ducrot 2009 in bibliography</w:t>
      </w:r>
      <w:r>
        <w:rPr>
          <w:rFonts w:cs="Gentium"/>
          <w:color w:val="000000"/>
          <w:szCs w:val="24"/>
        </w:rPr>
        <w:t xml:space="preserve">, </w:t>
      </w:r>
      <w:r w:rsidRPr="0012006F">
        <w:rPr>
          <w:rFonts w:cs="Gentium"/>
          <w:b/>
          <w:color w:val="000000"/>
          <w:szCs w:val="24"/>
        </w:rPr>
        <w:t>also</w:t>
      </w:r>
      <w:r w:rsidRPr="00925F43">
        <w:rPr>
          <w:rFonts w:cs="Gentium"/>
          <w:color w:val="000000"/>
          <w:szCs w:val="24"/>
        </w:rPr>
        <w:t xml:space="preserve"> </w:t>
      </w:r>
      <w:r>
        <w:rPr>
          <w:rFonts w:cs="Gentium"/>
          <w:color w:val="000000"/>
          <w:szCs w:val="24"/>
        </w:rPr>
        <w:t xml:space="preserve">notes </w:t>
      </w:r>
      <w:r w:rsidRPr="00925F43">
        <w:rPr>
          <w:rFonts w:cs="Gentium"/>
          <w:color w:val="000000"/>
          <w:szCs w:val="24"/>
        </w:rPr>
        <w:t xml:space="preserve">in </w:t>
      </w:r>
      <w:r>
        <w:rPr>
          <w:rFonts w:cs="Gentium"/>
          <w:color w:val="000000"/>
          <w:szCs w:val="24"/>
        </w:rPr>
        <w:t>“</w:t>
      </w:r>
      <w:r w:rsidRPr="00925F43">
        <w:rPr>
          <w:rFonts w:cs="Gentium"/>
          <w:color w:val="000000"/>
          <w:szCs w:val="24"/>
        </w:rPr>
        <w:t>Further Notes</w:t>
      </w:r>
      <w:r>
        <w:rPr>
          <w:rFonts w:cs="Gentium"/>
          <w:color w:val="000000"/>
          <w:szCs w:val="24"/>
        </w:rPr>
        <w:t xml:space="preserve"> (visual</w:t>
      </w:r>
      <w:r w:rsidRPr="00925F43">
        <w:rPr>
          <w:rFonts w:cs="Gentium"/>
          <w:color w:val="000000"/>
          <w:szCs w:val="24"/>
        </w:rPr>
        <w:t>)</w:t>
      </w:r>
      <w:r>
        <w:rPr>
          <w:rFonts w:cs="Gentium"/>
          <w:color w:val="000000"/>
          <w:szCs w:val="24"/>
        </w:rPr>
        <w:t>”</w:t>
      </w:r>
    </w:p>
    <w:p w14:paraId="62575C62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Emory</w:t>
      </w:r>
      <w:r w:rsidRPr="00925F43">
        <w:rPr>
          <w:rFonts w:cs="Gentium"/>
          <w:color w:val="000000"/>
          <w:szCs w:val="24"/>
        </w:rPr>
        <w:tab/>
        <w:t>Michael C. Carlos Museum, Emory University, Atlanta, Georgia</w:t>
      </w:r>
    </w:p>
    <w:p w14:paraId="4C7FFB6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Fitzwilliam</w:t>
      </w:r>
      <w:r w:rsidRPr="00925F43">
        <w:rPr>
          <w:rFonts w:cs="Gentium"/>
          <w:color w:val="000000"/>
          <w:szCs w:val="24"/>
        </w:rPr>
        <w:tab/>
        <w:t>Fitzwilliam Museum, Cambridge</w:t>
      </w:r>
    </w:p>
    <w:p w14:paraId="64DDB760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Florida</w:t>
      </w:r>
      <w:r w:rsidRPr="00925F43">
        <w:rPr>
          <w:rFonts w:cs="Gentium"/>
          <w:color w:val="000000"/>
          <w:szCs w:val="24"/>
        </w:rPr>
        <w:tab/>
      </w:r>
      <w:r w:rsidRPr="006C0BB3">
        <w:rPr>
          <w:szCs w:val="24"/>
        </w:rPr>
        <w:t>Harn Museum of Art, University of Florida</w:t>
      </w:r>
    </w:p>
    <w:p w14:paraId="28D0C6DA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Freer</w:t>
      </w:r>
      <w:r w:rsidRPr="00925F43">
        <w:rPr>
          <w:rFonts w:cs="Gentium"/>
          <w:color w:val="000000"/>
          <w:szCs w:val="24"/>
        </w:rPr>
        <w:tab/>
        <w:t>Freer Gallery of Art, Smithsonian Institution, Washington DC</w:t>
      </w:r>
    </w:p>
    <w:p w14:paraId="6C695F07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Guimet</w:t>
      </w:r>
      <w:r w:rsidRPr="00925F43">
        <w:rPr>
          <w:rFonts w:cs="Gentium"/>
          <w:color w:val="000000"/>
          <w:szCs w:val="24"/>
        </w:rPr>
        <w:tab/>
        <w:t>Musée Guimet, Paris</w:t>
      </w:r>
    </w:p>
    <w:p w14:paraId="216F7479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 w:rsidRPr="001F4058">
        <w:rPr>
          <w:color w:val="000000"/>
          <w:szCs w:val="24"/>
        </w:rPr>
        <w:t>Harvard (Sackler)</w:t>
      </w:r>
      <w:r>
        <w:rPr>
          <w:color w:val="000000"/>
          <w:szCs w:val="24"/>
        </w:rPr>
        <w:tab/>
        <w:t>Sackler Museum, Harvard University</w:t>
      </w:r>
    </w:p>
    <w:p w14:paraId="4BD41335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>
        <w:rPr>
          <w:color w:val="000000"/>
          <w:szCs w:val="24"/>
        </w:rPr>
        <w:t>Heil coll.</w:t>
      </w:r>
      <w:r>
        <w:rPr>
          <w:color w:val="000000"/>
          <w:szCs w:val="24"/>
        </w:rPr>
        <w:tab/>
        <w:t>collection of Günter Heil</w:t>
      </w:r>
    </w:p>
    <w:p w14:paraId="21F1BC83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szCs w:val="24"/>
        </w:rPr>
      </w:pPr>
      <w:r>
        <w:rPr>
          <w:color w:val="000000"/>
          <w:szCs w:val="24"/>
        </w:rPr>
        <w:t>J + K Mittal Mus.</w:t>
      </w:r>
      <w:r w:rsidRPr="00115E02">
        <w:rPr>
          <w:color w:val="000000"/>
          <w:szCs w:val="24"/>
        </w:rPr>
        <w:tab/>
      </w:r>
      <w:r w:rsidRPr="00115E02">
        <w:rPr>
          <w:szCs w:val="24"/>
        </w:rPr>
        <w:t>Jagdish and Kamla Mittal Museum of Indian Art, Hyderabad</w:t>
      </w:r>
    </w:p>
    <w:p w14:paraId="51D9A26A" w14:textId="77777777" w:rsidR="003B2142" w:rsidRPr="003D24B4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szCs w:val="24"/>
        </w:rPr>
      </w:pPr>
      <w:r w:rsidRPr="003D24B4">
        <w:rPr>
          <w:szCs w:val="24"/>
        </w:rPr>
        <w:t>Jaipur (Albert Hall)</w:t>
      </w:r>
      <w:r w:rsidRPr="003D24B4">
        <w:rPr>
          <w:szCs w:val="24"/>
        </w:rPr>
        <w:tab/>
        <w:t>Government Central Museum, Albert Hall, Jaipur</w:t>
      </w:r>
    </w:p>
    <w:p w14:paraId="25389886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szCs w:val="24"/>
        </w:rPr>
      </w:pPr>
      <w:r>
        <w:rPr>
          <w:szCs w:val="24"/>
        </w:rPr>
        <w:t>Jñāna-Pravāha</w:t>
      </w:r>
      <w:r>
        <w:rPr>
          <w:szCs w:val="24"/>
        </w:rPr>
        <w:tab/>
        <w:t>Jñāna-Pravāha Centre for Cultural Studies &amp; Research, Varanasi</w:t>
      </w:r>
    </w:p>
    <w:p w14:paraId="07400242" w14:textId="77777777" w:rsidR="003B2142" w:rsidRPr="00C20C85" w:rsidRDefault="003B2142" w:rsidP="003B2142">
      <w:pPr>
        <w:tabs>
          <w:tab w:val="left" w:pos="2160"/>
        </w:tabs>
        <w:spacing w:after="120"/>
        <w:ind w:right="26"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Kronos cat.</w:t>
      </w:r>
      <w:r>
        <w:rPr>
          <w:rFonts w:cs="Gentium"/>
          <w:color w:val="000000"/>
          <w:szCs w:val="24"/>
        </w:rPr>
        <w:tab/>
      </w:r>
      <w:r>
        <w:rPr>
          <w:rFonts w:cs="Gentium"/>
          <w:b/>
          <w:color w:val="000000"/>
          <w:szCs w:val="24"/>
        </w:rPr>
        <w:t>see</w:t>
      </w:r>
      <w:r>
        <w:rPr>
          <w:rFonts w:cs="Gentium"/>
          <w:color w:val="000000"/>
          <w:szCs w:val="24"/>
        </w:rPr>
        <w:t xml:space="preserve"> </w:t>
      </w:r>
      <w:r w:rsidRPr="00273A59">
        <w:t>McInerney</w:t>
      </w:r>
      <w:r>
        <w:t xml:space="preserve"> 2016</w:t>
      </w:r>
      <w:r w:rsidRPr="00925F43">
        <w:rPr>
          <w:rFonts w:cs="Gentium"/>
          <w:color w:val="000000"/>
          <w:szCs w:val="24"/>
        </w:rPr>
        <w:t xml:space="preserve"> in bibliography</w:t>
      </w:r>
      <w:r>
        <w:rPr>
          <w:rFonts w:cs="Gentium"/>
          <w:color w:val="000000"/>
          <w:szCs w:val="24"/>
        </w:rPr>
        <w:t xml:space="preserve"> </w:t>
      </w:r>
      <w:r w:rsidRPr="00F20738">
        <w:rPr>
          <w:color w:val="000000"/>
        </w:rPr>
        <w:t xml:space="preserve">[Kronos Collections owned by </w:t>
      </w:r>
      <w:r>
        <w:rPr>
          <w:color w:val="000000"/>
        </w:rPr>
        <w:tab/>
      </w:r>
      <w:r w:rsidRPr="00F20738">
        <w:rPr>
          <w:color w:val="000000"/>
        </w:rPr>
        <w:t>Steven M. Kossak</w:t>
      </w:r>
      <w:r>
        <w:rPr>
          <w:color w:val="000000"/>
        </w:rPr>
        <w:t>,</w:t>
      </w:r>
      <w:r w:rsidRPr="00F20738">
        <w:rPr>
          <w:color w:val="000000"/>
        </w:rPr>
        <w:t xml:space="preserve"> promised to Met. Mus.]</w:t>
      </w:r>
    </w:p>
    <w:p w14:paraId="3DA34C95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LACMA</w:t>
      </w:r>
      <w:r w:rsidRPr="00925F43">
        <w:rPr>
          <w:rFonts w:cs="Gentium"/>
          <w:color w:val="000000"/>
          <w:szCs w:val="24"/>
        </w:rPr>
        <w:tab/>
        <w:t>Los Angeles County Museum of Art</w:t>
      </w:r>
    </w:p>
    <w:p w14:paraId="3CBDC938" w14:textId="20913861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La Salle</w:t>
      </w:r>
      <w:r>
        <w:rPr>
          <w:rFonts w:cs="Gentium"/>
          <w:color w:val="000000"/>
          <w:szCs w:val="24"/>
        </w:rPr>
        <w:tab/>
        <w:t>La Salle University Art Museum</w:t>
      </w:r>
    </w:p>
    <w:p w14:paraId="7E2CB23B" w14:textId="66C93720" w:rsidR="000029E0" w:rsidRPr="00925F43" w:rsidRDefault="000029E0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lastRenderedPageBreak/>
        <w:t xml:space="preserve">MAP, </w:t>
      </w:r>
      <w:r w:rsidR="00A534A5">
        <w:rPr>
          <w:rFonts w:cs="Gentium"/>
          <w:color w:val="000000"/>
          <w:szCs w:val="24"/>
        </w:rPr>
        <w:t>Bangalore</w:t>
      </w:r>
      <w:r w:rsidR="00A534A5">
        <w:rPr>
          <w:rFonts w:cs="Gentium"/>
          <w:color w:val="000000"/>
          <w:szCs w:val="24"/>
        </w:rPr>
        <w:tab/>
        <w:t>Museum of Art &amp; Photography, Bangalore</w:t>
      </w:r>
      <w:bookmarkStart w:id="0" w:name="_GoBack"/>
      <w:bookmarkEnd w:id="0"/>
    </w:p>
    <w:p w14:paraId="57DD420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Met. Mus.</w:t>
      </w:r>
      <w:r w:rsidRPr="00925F43">
        <w:rPr>
          <w:rFonts w:cs="Gentium"/>
          <w:color w:val="000000"/>
          <w:szCs w:val="24"/>
        </w:rPr>
        <w:tab/>
        <w:t>Metropolitan Museum of Art, New York</w:t>
      </w:r>
    </w:p>
    <w:p w14:paraId="5E3C15AF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MFA</w:t>
      </w:r>
      <w:r w:rsidRPr="00925F43">
        <w:rPr>
          <w:rFonts w:cs="Gentium"/>
          <w:color w:val="000000"/>
          <w:szCs w:val="24"/>
        </w:rPr>
        <w:tab/>
        <w:t>Museum of Fine Arts, Boston</w:t>
      </w:r>
    </w:p>
    <w:p w14:paraId="4218CB6B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MIA, Doha</w:t>
      </w:r>
      <w:r>
        <w:rPr>
          <w:rFonts w:cs="Gentium"/>
          <w:color w:val="000000"/>
          <w:szCs w:val="24"/>
        </w:rPr>
        <w:tab/>
        <w:t>Museum of Islamic Art, Doha</w:t>
      </w:r>
    </w:p>
    <w:p w14:paraId="4C40907A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Michigan</w:t>
      </w:r>
      <w:r w:rsidRPr="00925F43">
        <w:rPr>
          <w:rFonts w:cs="Gentium"/>
          <w:color w:val="000000"/>
          <w:szCs w:val="24"/>
        </w:rPr>
        <w:tab/>
        <w:t>Museum of Art, University of Michigan</w:t>
      </w:r>
    </w:p>
    <w:p w14:paraId="63F37288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Minneapolis</w:t>
      </w:r>
      <w:r w:rsidRPr="00925F43">
        <w:rPr>
          <w:rFonts w:cs="Gentium"/>
          <w:color w:val="000000"/>
          <w:szCs w:val="24"/>
        </w:rPr>
        <w:tab/>
        <w:t>Minneapolis Institute of Arts</w:t>
      </w:r>
    </w:p>
    <w:p w14:paraId="0D7DBFEC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Nat. Mus.</w:t>
      </w:r>
      <w:r w:rsidRPr="00925F43">
        <w:rPr>
          <w:rFonts w:cs="Gentium"/>
          <w:color w:val="000000"/>
          <w:szCs w:val="24"/>
        </w:rPr>
        <w:tab/>
        <w:t>National Museum, New Delhi</w:t>
      </w:r>
    </w:p>
    <w:p w14:paraId="2C388585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Norton Simon</w:t>
      </w:r>
      <w:r w:rsidRPr="00925F43">
        <w:rPr>
          <w:rFonts w:cs="Gentium"/>
          <w:color w:val="000000"/>
          <w:szCs w:val="24"/>
        </w:rPr>
        <w:tab/>
        <w:t>Norton Simon Museum, Pasadena</w:t>
      </w:r>
    </w:p>
    <w:p w14:paraId="7FC73603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szCs w:val="24"/>
        </w:rPr>
      </w:pPr>
      <w:r w:rsidRPr="00925F43">
        <w:rPr>
          <w:rFonts w:cs="Gentium"/>
          <w:color w:val="000000"/>
          <w:szCs w:val="24"/>
        </w:rPr>
        <w:t>Peabody Essex</w:t>
      </w:r>
      <w:r w:rsidRPr="00925F43">
        <w:rPr>
          <w:rFonts w:cs="Gentium"/>
          <w:color w:val="000000"/>
          <w:szCs w:val="24"/>
        </w:rPr>
        <w:tab/>
      </w:r>
      <w:r w:rsidRPr="004C1492">
        <w:rPr>
          <w:szCs w:val="24"/>
        </w:rPr>
        <w:t>Peabody Essex Museum, Salem</w:t>
      </w:r>
    </w:p>
    <w:p w14:paraId="18700F7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szCs w:val="24"/>
        </w:rPr>
        <w:t>Peerless</w:t>
      </w:r>
      <w:r>
        <w:rPr>
          <w:szCs w:val="24"/>
        </w:rPr>
        <w:tab/>
        <w:t>Ann &amp; Bury Peerless Slide Resources</w:t>
      </w:r>
    </w:p>
    <w:p w14:paraId="1E0F3F19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Philadelphia</w:t>
      </w:r>
      <w:r w:rsidRPr="00925F43">
        <w:rPr>
          <w:rFonts w:cs="Gentium"/>
          <w:color w:val="000000"/>
          <w:szCs w:val="24"/>
        </w:rPr>
        <w:tab/>
        <w:t>Philadelphia Museum of Art</w:t>
      </w:r>
    </w:p>
    <w:p w14:paraId="49F47241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>
        <w:rPr>
          <w:rFonts w:cs="Gentium"/>
          <w:color w:val="000000"/>
          <w:szCs w:val="24"/>
        </w:rPr>
        <w:t>Portland</w:t>
      </w:r>
      <w:r>
        <w:rPr>
          <w:rFonts w:cs="Gentium"/>
          <w:color w:val="000000"/>
          <w:szCs w:val="24"/>
        </w:rPr>
        <w:tab/>
        <w:t>Portland Art Museum, Portland, Oregon</w:t>
      </w:r>
    </w:p>
    <w:p w14:paraId="41D00F17" w14:textId="3CEC7DAF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  <w:lang w:bidi="x-none"/>
        </w:rPr>
      </w:pPr>
      <w:r w:rsidRPr="00925F43">
        <w:rPr>
          <w:i/>
          <w:color w:val="000000"/>
          <w:szCs w:val="24"/>
          <w:lang w:bidi="x-none"/>
        </w:rPr>
        <w:t>Rām. illustré</w:t>
      </w:r>
      <w:r w:rsidRPr="00925F43">
        <w:rPr>
          <w:i/>
          <w:color w:val="000000"/>
          <w:szCs w:val="24"/>
          <w:lang w:bidi="x-none"/>
        </w:rPr>
        <w:tab/>
      </w:r>
      <w:r w:rsidRPr="00925F43">
        <w:rPr>
          <w:color w:val="000000"/>
          <w:szCs w:val="24"/>
          <w:lang w:bidi="x-none"/>
        </w:rPr>
        <w:t xml:space="preserve">= </w:t>
      </w:r>
      <w:r w:rsidRPr="006D5FFB">
        <w:rPr>
          <w:rFonts w:eastAsia="Gentium Basic" w:cs="Gentium Basic"/>
          <w:color w:val="000000"/>
          <w:szCs w:val="24"/>
        </w:rPr>
        <w:t>Okada</w:t>
      </w:r>
      <w:r w:rsidRPr="006D5FFB">
        <w:rPr>
          <w:color w:val="000000"/>
          <w:szCs w:val="24"/>
          <w:lang w:bidi="x-none"/>
        </w:rPr>
        <w:t xml:space="preserve"> </w:t>
      </w:r>
      <w:r w:rsidRPr="00925F43">
        <w:rPr>
          <w:color w:val="000000"/>
          <w:szCs w:val="24"/>
          <w:lang w:bidi="x-none"/>
        </w:rPr>
        <w:t>2011</w:t>
      </w:r>
    </w:p>
    <w:p w14:paraId="65DFB946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color w:val="000000"/>
          <w:szCs w:val="24"/>
          <w:lang w:bidi="x-none"/>
        </w:rPr>
        <w:t>RAS</w:t>
      </w:r>
      <w:r w:rsidRPr="00925F43">
        <w:rPr>
          <w:color w:val="000000"/>
          <w:szCs w:val="24"/>
          <w:lang w:bidi="x-none"/>
        </w:rPr>
        <w:tab/>
        <w:t>Royal Asiatic Society, London</w:t>
      </w:r>
    </w:p>
    <w:p w14:paraId="52D39D0D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Rietberg</w:t>
      </w:r>
      <w:r w:rsidRPr="00925F43">
        <w:rPr>
          <w:rFonts w:cs="Gentium"/>
          <w:color w:val="000000"/>
          <w:szCs w:val="24"/>
        </w:rPr>
        <w:tab/>
        <w:t>Museum Rietberg, Zürich</w:t>
      </w:r>
    </w:p>
    <w:p w14:paraId="1B3CE7C6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Rijksmuseum</w:t>
      </w:r>
      <w:r w:rsidRPr="00925F43">
        <w:rPr>
          <w:rFonts w:cs="Gentium"/>
          <w:color w:val="000000"/>
          <w:szCs w:val="24"/>
        </w:rPr>
        <w:tab/>
        <w:t>Rijksmuseum, Amsterdam</w:t>
      </w:r>
    </w:p>
    <w:p w14:paraId="758A0E5D" w14:textId="77777777" w:rsidR="003B2142" w:rsidRPr="00C5275A" w:rsidRDefault="003B2142" w:rsidP="003B2142">
      <w:pPr>
        <w:tabs>
          <w:tab w:val="left" w:pos="2160"/>
        </w:tabs>
        <w:suppressAutoHyphens w:val="0"/>
        <w:overflowPunct/>
        <w:autoSpaceDE/>
        <w:spacing w:after="120"/>
        <w:ind w:firstLine="0"/>
        <w:textAlignment w:val="auto"/>
        <w:rPr>
          <w:color w:val="000000"/>
          <w:szCs w:val="24"/>
        </w:rPr>
      </w:pPr>
      <w:r w:rsidRPr="00C5275A">
        <w:rPr>
          <w:rFonts w:cs="Gentium"/>
          <w:color w:val="000000"/>
          <w:szCs w:val="24"/>
        </w:rPr>
        <w:t>Sackler</w:t>
      </w:r>
      <w:r w:rsidRPr="00C5275A">
        <w:rPr>
          <w:rFonts w:cs="Gentium"/>
          <w:color w:val="000000"/>
          <w:szCs w:val="24"/>
        </w:rPr>
        <w:tab/>
      </w:r>
      <w:r w:rsidRPr="00C5275A">
        <w:rPr>
          <w:color w:val="000000"/>
          <w:szCs w:val="24"/>
        </w:rPr>
        <w:t>Arthur M. Sackler Gallery,</w:t>
      </w:r>
      <w:r w:rsidRPr="00925F43">
        <w:rPr>
          <w:rFonts w:cs="Gentium"/>
          <w:color w:val="000000"/>
          <w:szCs w:val="24"/>
        </w:rPr>
        <w:t xml:space="preserve"> Smithsonian Institution, Washington DC</w:t>
      </w:r>
    </w:p>
    <w:p w14:paraId="4C5608AF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rFonts w:cs="Gentium"/>
          <w:color w:val="000000"/>
          <w:szCs w:val="24"/>
        </w:rPr>
      </w:pPr>
      <w:r w:rsidRPr="00925F43">
        <w:rPr>
          <w:rFonts w:cs="Gentium"/>
          <w:color w:val="000000"/>
          <w:szCs w:val="24"/>
        </w:rPr>
        <w:t>San  Diego</w:t>
      </w:r>
      <w:r w:rsidRPr="00925F43">
        <w:rPr>
          <w:rFonts w:cs="Gentium"/>
          <w:color w:val="000000"/>
          <w:szCs w:val="24"/>
        </w:rPr>
        <w:tab/>
        <w:t>San Diego Museum of Art</w:t>
      </w:r>
    </w:p>
    <w:p w14:paraId="1B980801" w14:textId="3F24A542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San Francisco</w:t>
      </w:r>
      <w:r w:rsidRPr="00925F43">
        <w:rPr>
          <w:color w:val="000000"/>
          <w:szCs w:val="24"/>
        </w:rPr>
        <w:tab/>
        <w:t>San Francisco Asian Art Museum</w:t>
      </w:r>
    </w:p>
    <w:p w14:paraId="2CB74B39" w14:textId="28608765" w:rsidR="0009354F" w:rsidRPr="00925F43" w:rsidRDefault="0009354F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>
        <w:rPr>
          <w:color w:val="000000"/>
          <w:szCs w:val="24"/>
        </w:rPr>
        <w:t>Toledo</w:t>
      </w:r>
      <w:r>
        <w:rPr>
          <w:color w:val="000000"/>
          <w:szCs w:val="24"/>
        </w:rPr>
        <w:tab/>
        <w:t>Toledo Museum of Art, Toledo, Ohio</w:t>
      </w:r>
    </w:p>
    <w:p w14:paraId="3911B2BC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V&amp;A</w:t>
      </w:r>
      <w:r w:rsidRPr="00925F43">
        <w:rPr>
          <w:color w:val="000000"/>
          <w:szCs w:val="24"/>
        </w:rPr>
        <w:tab/>
        <w:t>Victoria and Albert Museum, London</w:t>
      </w:r>
    </w:p>
    <w:p w14:paraId="770296BB" w14:textId="77777777" w:rsidR="003B2142" w:rsidRPr="00925F43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Virginia Mus.</w:t>
      </w:r>
      <w:r w:rsidRPr="00925F43">
        <w:rPr>
          <w:color w:val="000000"/>
          <w:szCs w:val="24"/>
        </w:rPr>
        <w:tab/>
        <w:t>Viginia Museum of Fine Arts, Richmond</w:t>
      </w:r>
    </w:p>
    <w:p w14:paraId="395D8C3B" w14:textId="60D1860E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 w:rsidRPr="00925F43">
        <w:rPr>
          <w:color w:val="000000"/>
          <w:szCs w:val="24"/>
        </w:rPr>
        <w:t>Walter coll.</w:t>
      </w:r>
      <w:r w:rsidRPr="00925F43">
        <w:rPr>
          <w:color w:val="000000"/>
          <w:szCs w:val="24"/>
        </w:rPr>
        <w:tab/>
      </w:r>
      <w:r w:rsidRPr="00925F43">
        <w:rPr>
          <w:b/>
          <w:color w:val="000000"/>
          <w:szCs w:val="24"/>
        </w:rPr>
        <w:t>see</w:t>
      </w:r>
      <w:r w:rsidRPr="00925F43">
        <w:rPr>
          <w:color w:val="000000"/>
          <w:szCs w:val="24"/>
        </w:rPr>
        <w:t xml:space="preserve"> Paul F. Walter collection in Further Notes</w:t>
      </w:r>
      <w:r>
        <w:rPr>
          <w:color w:val="000000"/>
          <w:szCs w:val="24"/>
        </w:rPr>
        <w:t xml:space="preserve"> (visual)</w:t>
      </w:r>
    </w:p>
    <w:p w14:paraId="6110B5AE" w14:textId="08B5729F" w:rsidR="00347F4D" w:rsidRPr="00347F4D" w:rsidRDefault="00347F4D" w:rsidP="00347F4D">
      <w:pPr>
        <w:suppressAutoHyphens w:val="0"/>
        <w:overflowPunct/>
        <w:autoSpaceDE/>
        <w:spacing w:after="120"/>
        <w:ind w:firstLine="0"/>
        <w:textAlignment w:val="auto"/>
        <w:rPr>
          <w:szCs w:val="24"/>
        </w:rPr>
      </w:pPr>
      <w:r w:rsidRPr="00347F4D">
        <w:rPr>
          <w:color w:val="000000"/>
          <w:szCs w:val="24"/>
        </w:rPr>
        <w:t>Wereld Museum</w:t>
      </w:r>
      <w:r w:rsidRPr="00347F4D">
        <w:rPr>
          <w:color w:val="000000"/>
          <w:szCs w:val="24"/>
        </w:rPr>
        <w:tab/>
        <w:t xml:space="preserve">Wereld Museum, Amsterdam (formerly Tropenmuseum), Leiden </w:t>
      </w:r>
      <w:r w:rsidRPr="00347F4D">
        <w:rPr>
          <w:color w:val="000000"/>
          <w:szCs w:val="24"/>
        </w:rPr>
        <w:tab/>
      </w:r>
      <w:r w:rsidRPr="00347F4D">
        <w:rPr>
          <w:color w:val="000000"/>
          <w:szCs w:val="24"/>
        </w:rPr>
        <w:tab/>
      </w:r>
      <w:r w:rsidRPr="00347F4D">
        <w:rPr>
          <w:color w:val="000000"/>
          <w:szCs w:val="24"/>
        </w:rPr>
        <w:tab/>
      </w:r>
      <w:r w:rsidRPr="00347F4D">
        <w:rPr>
          <w:color w:val="000000"/>
          <w:szCs w:val="24"/>
        </w:rPr>
        <w:tab/>
        <w:t xml:space="preserve">(formerly Museum Volkenkunde), Rotterdam (formerly </w:t>
      </w:r>
      <w:r w:rsidRPr="00347F4D">
        <w:rPr>
          <w:szCs w:val="24"/>
        </w:rPr>
        <w:t xml:space="preserve">Museum voor </w:t>
      </w:r>
      <w:r w:rsidRPr="00347F4D">
        <w:rPr>
          <w:szCs w:val="24"/>
        </w:rPr>
        <w:tab/>
      </w:r>
      <w:r w:rsidRPr="00347F4D">
        <w:rPr>
          <w:szCs w:val="24"/>
        </w:rPr>
        <w:tab/>
      </w:r>
      <w:r w:rsidRPr="00347F4D">
        <w:rPr>
          <w:szCs w:val="24"/>
        </w:rPr>
        <w:tab/>
        <w:t>Land- en Volkenkunde</w:t>
      </w:r>
      <w:r>
        <w:rPr>
          <w:szCs w:val="24"/>
        </w:rPr>
        <w:t>)</w:t>
      </w:r>
    </w:p>
    <w:p w14:paraId="54D9767E" w14:textId="7777777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szCs w:val="24"/>
        </w:rPr>
      </w:pPr>
      <w:r w:rsidRPr="00925F43">
        <w:rPr>
          <w:color w:val="000000"/>
          <w:szCs w:val="24"/>
        </w:rPr>
        <w:t>Wilkinson</w:t>
      </w:r>
      <w:r w:rsidRPr="00925F43">
        <w:rPr>
          <w:color w:val="000000"/>
          <w:szCs w:val="24"/>
        </w:rPr>
        <w:tab/>
      </w:r>
      <w:r w:rsidRPr="00164138">
        <w:rPr>
          <w:szCs w:val="24"/>
        </w:rPr>
        <w:t>E. Wilkinson, From miniature to modern</w:t>
      </w:r>
      <w:r>
        <w:rPr>
          <w:szCs w:val="24"/>
        </w:rPr>
        <w:t xml:space="preserve"> [online]</w:t>
      </w:r>
    </w:p>
    <w:p w14:paraId="35A3AF6B" w14:textId="41F45617" w:rsidR="003B2142" w:rsidRDefault="003B2142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  <w:r>
        <w:rPr>
          <w:color w:val="000000"/>
          <w:szCs w:val="24"/>
        </w:rPr>
        <w:t>Wisconsin</w:t>
      </w:r>
      <w:r>
        <w:rPr>
          <w:color w:val="000000"/>
          <w:szCs w:val="24"/>
        </w:rPr>
        <w:tab/>
        <w:t>Chazen Museum of Art</w:t>
      </w:r>
      <w:r w:rsidR="006D7445">
        <w:rPr>
          <w:color w:val="000000"/>
          <w:szCs w:val="24"/>
        </w:rPr>
        <w:t xml:space="preserve"> (formerly Elvehjem Art Center)</w:t>
      </w:r>
      <w:r>
        <w:rPr>
          <w:color w:val="000000"/>
          <w:szCs w:val="24"/>
        </w:rPr>
        <w:t xml:space="preserve">, University of </w:t>
      </w:r>
      <w:r w:rsidR="006D7445">
        <w:rPr>
          <w:color w:val="000000"/>
          <w:szCs w:val="24"/>
        </w:rPr>
        <w:tab/>
      </w:r>
      <w:r>
        <w:rPr>
          <w:color w:val="000000"/>
          <w:szCs w:val="24"/>
        </w:rPr>
        <w:t>Wisconsin at Madison</w:t>
      </w:r>
    </w:p>
    <w:p w14:paraId="55977597" w14:textId="2E86F567" w:rsidR="00E51F6D" w:rsidRDefault="00E51F6D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</w:p>
    <w:p w14:paraId="1A55D6D2" w14:textId="15E70FA2" w:rsidR="00E51F6D" w:rsidRDefault="00E51F6D" w:rsidP="00E51F6D">
      <w:pPr>
        <w:tabs>
          <w:tab w:val="left" w:pos="2160"/>
          <w:tab w:val="right" w:pos="9000"/>
        </w:tabs>
        <w:spacing w:after="120" w:line="276" w:lineRule="auto"/>
        <w:ind w:firstLine="0"/>
        <w:rPr>
          <w:rFonts w:cs="Gentium"/>
          <w:color w:val="000000"/>
          <w:szCs w:val="24"/>
        </w:rPr>
      </w:pPr>
      <w:r>
        <w:rPr>
          <w:rFonts w:cs="Gentium"/>
          <w:b/>
          <w:color w:val="000000"/>
          <w:szCs w:val="24"/>
        </w:rPr>
        <w:t xml:space="preserve">n.b.  </w:t>
      </w:r>
      <w:r w:rsidRPr="008618B3">
        <w:rPr>
          <w:rFonts w:cs="Gentium"/>
          <w:color w:val="000000"/>
          <w:szCs w:val="24"/>
        </w:rPr>
        <w:t>auction catalogues</w:t>
      </w:r>
      <w:r>
        <w:rPr>
          <w:rFonts w:cs="Gentium"/>
          <w:color w:val="000000"/>
          <w:szCs w:val="24"/>
        </w:rPr>
        <w:t xml:space="preserve"> are</w:t>
      </w:r>
      <w:r w:rsidRPr="008618B3">
        <w:rPr>
          <w:rFonts w:cs="Gentium"/>
          <w:color w:val="000000"/>
          <w:szCs w:val="24"/>
        </w:rPr>
        <w:t xml:space="preserve"> cited by</w:t>
      </w:r>
      <w:r>
        <w:rPr>
          <w:rFonts w:cs="Gentium"/>
          <w:color w:val="000000"/>
          <w:szCs w:val="24"/>
        </w:rPr>
        <w:t xml:space="preserve"> auction house name, date (last two numerals of year)</w:t>
      </w:r>
      <w:r w:rsidRPr="008618B3">
        <w:rPr>
          <w:rFonts w:cs="Gentium"/>
          <w:color w:val="000000"/>
          <w:szCs w:val="24"/>
        </w:rPr>
        <w:t xml:space="preserve"> and lot n</w:t>
      </w:r>
      <w:r>
        <w:rPr>
          <w:rFonts w:cs="Gentium"/>
          <w:color w:val="000000"/>
          <w:szCs w:val="24"/>
        </w:rPr>
        <w:t>umber in the following format:</w:t>
      </w:r>
      <w:r>
        <w:rPr>
          <w:rFonts w:cs="Gentium"/>
          <w:color w:val="000000"/>
          <w:szCs w:val="24"/>
        </w:rPr>
        <w:tab/>
        <w:t xml:space="preserve"> auctioneer 10.06.98: 76</w:t>
      </w:r>
    </w:p>
    <w:p w14:paraId="0A813834" w14:textId="77777777" w:rsidR="00E51F6D" w:rsidRPr="00925F43" w:rsidRDefault="00E51F6D" w:rsidP="003B2142">
      <w:pPr>
        <w:tabs>
          <w:tab w:val="left" w:pos="2160"/>
          <w:tab w:val="right" w:pos="9000"/>
        </w:tabs>
        <w:spacing w:after="120"/>
        <w:ind w:firstLine="0"/>
        <w:rPr>
          <w:color w:val="000000"/>
          <w:szCs w:val="24"/>
        </w:rPr>
      </w:pPr>
    </w:p>
    <w:p w14:paraId="1F9FD280" w14:textId="77777777" w:rsidR="00BF4506" w:rsidRDefault="00BF4506"/>
    <w:sectPr w:rsidR="00BF45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9C97F" w14:textId="77777777" w:rsidR="00C551B2" w:rsidRDefault="00C551B2">
      <w:r>
        <w:separator/>
      </w:r>
    </w:p>
  </w:endnote>
  <w:endnote w:type="continuationSeparator" w:id="0">
    <w:p w14:paraId="4E300318" w14:textId="77777777" w:rsidR="00C551B2" w:rsidRDefault="00C5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hruti">
    <w:altName w:val="Cambria"/>
    <w:panose1 w:val="020B0502040204020203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tium Basic">
    <w:altName w:val="Gentium"/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80EAB" w14:textId="77777777" w:rsidR="00F232AD" w:rsidRDefault="003B2142">
    <w:pPr>
      <w:pStyle w:val="Footer"/>
      <w:ind w:firstLine="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4D660" w14:textId="77777777" w:rsidR="00F232AD" w:rsidRDefault="00C5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3492A" w14:textId="77777777" w:rsidR="00C551B2" w:rsidRDefault="00C551B2">
      <w:r>
        <w:separator/>
      </w:r>
    </w:p>
  </w:footnote>
  <w:footnote w:type="continuationSeparator" w:id="0">
    <w:p w14:paraId="6AC1D66E" w14:textId="77777777" w:rsidR="00C551B2" w:rsidRDefault="00C55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D6812" w14:textId="77777777" w:rsidR="00F232AD" w:rsidRDefault="003B2142">
    <w:pPr>
      <w:pStyle w:val="Header"/>
      <w:tabs>
        <w:tab w:val="clear" w:pos="8640"/>
        <w:tab w:val="right" w:pos="9019"/>
      </w:tabs>
      <w:spacing w:before="120"/>
    </w:pPr>
    <w:r>
      <w:rPr>
        <w:rStyle w:val="PageNumber"/>
        <w:rFonts w:eastAsia="Gentium"/>
        <w:sz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48521" w14:textId="77777777" w:rsidR="00F232AD" w:rsidRDefault="00C5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DCAB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142"/>
    <w:rsid w:val="000029E0"/>
    <w:rsid w:val="00063CF4"/>
    <w:rsid w:val="0009354F"/>
    <w:rsid w:val="00145EC4"/>
    <w:rsid w:val="001A1323"/>
    <w:rsid w:val="001F466F"/>
    <w:rsid w:val="00202EAC"/>
    <w:rsid w:val="00204E96"/>
    <w:rsid w:val="00242A33"/>
    <w:rsid w:val="00273EE1"/>
    <w:rsid w:val="00292066"/>
    <w:rsid w:val="002A0F64"/>
    <w:rsid w:val="00342768"/>
    <w:rsid w:val="00347F4D"/>
    <w:rsid w:val="00354F2F"/>
    <w:rsid w:val="003611F3"/>
    <w:rsid w:val="00381A2B"/>
    <w:rsid w:val="003B2142"/>
    <w:rsid w:val="00512E84"/>
    <w:rsid w:val="00565EF4"/>
    <w:rsid w:val="006D7445"/>
    <w:rsid w:val="006F5C1D"/>
    <w:rsid w:val="006F6063"/>
    <w:rsid w:val="007D2F92"/>
    <w:rsid w:val="00825299"/>
    <w:rsid w:val="008C1EBC"/>
    <w:rsid w:val="0096626F"/>
    <w:rsid w:val="009F07BA"/>
    <w:rsid w:val="009F1FBB"/>
    <w:rsid w:val="00A30383"/>
    <w:rsid w:val="00A534A5"/>
    <w:rsid w:val="00AD3F96"/>
    <w:rsid w:val="00AF7D4C"/>
    <w:rsid w:val="00BF4506"/>
    <w:rsid w:val="00C22AA7"/>
    <w:rsid w:val="00C551B2"/>
    <w:rsid w:val="00D92170"/>
    <w:rsid w:val="00DA6539"/>
    <w:rsid w:val="00E0401F"/>
    <w:rsid w:val="00E51F6D"/>
    <w:rsid w:val="00EB58DA"/>
    <w:rsid w:val="00F53826"/>
    <w:rsid w:val="00F7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82F1B"/>
  <w15:chartTrackingRefBased/>
  <w15:docId w15:val="{7405E512-2BBA-4D45-B924-34F46237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="Times New Roman" w:hAnsi="Gentium" w:cs="Arial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B2142"/>
    <w:pPr>
      <w:suppressAutoHyphens/>
      <w:overflowPunct w:val="0"/>
      <w:autoSpaceDE w:val="0"/>
      <w:ind w:firstLine="360"/>
      <w:textAlignment w:val="baseline"/>
    </w:pPr>
    <w:rPr>
      <w:rFonts w:cs="Times New Roman"/>
      <w:color w:val="auto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rrativeelements">
    <w:name w:val="narrative elements"/>
    <w:basedOn w:val="Normal"/>
    <w:rsid w:val="00565EF4"/>
    <w:rPr>
      <w:rFonts w:eastAsia="Times"/>
      <w:szCs w:val="22"/>
    </w:rPr>
  </w:style>
  <w:style w:type="paragraph" w:customStyle="1" w:styleId="hangingindent">
    <w:name w:val="hanging indent"/>
    <w:basedOn w:val="Normal"/>
    <w:rsid w:val="00DA6539"/>
    <w:pPr>
      <w:tabs>
        <w:tab w:val="left" w:pos="1440"/>
      </w:tabs>
      <w:suppressAutoHyphens w:val="0"/>
      <w:overflowPunct/>
      <w:autoSpaceDE/>
      <w:spacing w:after="80"/>
      <w:ind w:left="720" w:hanging="720"/>
      <w:textAlignment w:val="auto"/>
    </w:pPr>
    <w:rPr>
      <w:szCs w:val="24"/>
    </w:rPr>
  </w:style>
  <w:style w:type="paragraph" w:customStyle="1" w:styleId="HangingIndent0">
    <w:name w:val="Hanging Indent"/>
    <w:basedOn w:val="BodyText"/>
    <w:rsid w:val="009F07BA"/>
    <w:pPr>
      <w:tabs>
        <w:tab w:val="left" w:pos="0"/>
      </w:tabs>
      <w:spacing w:after="80"/>
    </w:pPr>
  </w:style>
  <w:style w:type="paragraph" w:styleId="BodyText">
    <w:name w:val="Body Text"/>
    <w:basedOn w:val="Normal"/>
    <w:link w:val="BodyTextChar"/>
    <w:uiPriority w:val="99"/>
    <w:semiHidden/>
    <w:unhideWhenUsed/>
    <w:rsid w:val="009F07BA"/>
    <w:pPr>
      <w:suppressAutoHyphens w:val="0"/>
      <w:overflowPunct/>
      <w:autoSpaceDE/>
      <w:ind w:firstLine="0"/>
      <w:textAlignment w:val="auto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07BA"/>
  </w:style>
  <w:style w:type="paragraph" w:customStyle="1" w:styleId="hangingindent025">
    <w:name w:val="hanging indent (0.25)"/>
    <w:basedOn w:val="hangingindent"/>
    <w:qFormat/>
    <w:rsid w:val="009F07BA"/>
    <w:pPr>
      <w:ind w:left="360" w:hanging="360"/>
      <w:jc w:val="both"/>
    </w:pPr>
    <w:rPr>
      <w:rFonts w:eastAsia="Times"/>
    </w:rPr>
  </w:style>
  <w:style w:type="paragraph" w:styleId="Header">
    <w:name w:val="header"/>
    <w:basedOn w:val="Normal"/>
    <w:link w:val="HeaderChar"/>
    <w:qFormat/>
    <w:rsid w:val="009F07BA"/>
    <w:pPr>
      <w:tabs>
        <w:tab w:val="center" w:pos="4320"/>
        <w:tab w:val="right" w:pos="8640"/>
      </w:tabs>
      <w:suppressAutoHyphens w:val="0"/>
      <w:overflowPunct/>
      <w:autoSpaceDE/>
      <w:jc w:val="right"/>
      <w:textAlignment w:val="auto"/>
    </w:pPr>
    <w:rPr>
      <w:szCs w:val="24"/>
    </w:rPr>
  </w:style>
  <w:style w:type="character" w:customStyle="1" w:styleId="HeaderChar">
    <w:name w:val="Header Char"/>
    <w:basedOn w:val="DefaultParagraphFont"/>
    <w:link w:val="Header"/>
    <w:rsid w:val="009F07BA"/>
    <w:rPr>
      <w:szCs w:val="20"/>
    </w:rPr>
  </w:style>
  <w:style w:type="character" w:styleId="PageNumber">
    <w:name w:val="page number"/>
    <w:qFormat/>
    <w:rsid w:val="00C22AA7"/>
    <w:rPr>
      <w:rFonts w:ascii="Gentium" w:hAnsi="Gentium" w:cs="Gentium"/>
      <w:sz w:val="24"/>
    </w:rPr>
  </w:style>
  <w:style w:type="paragraph" w:styleId="FootnoteText">
    <w:name w:val="footnote text"/>
    <w:aliases w:val="Footnote Text (Gentium)"/>
    <w:basedOn w:val="Normal"/>
    <w:link w:val="FootnoteTextChar"/>
    <w:qFormat/>
    <w:rsid w:val="00825299"/>
    <w:pPr>
      <w:tabs>
        <w:tab w:val="left" w:pos="360"/>
      </w:tabs>
      <w:suppressAutoHyphens w:val="0"/>
      <w:overflowPunct/>
      <w:autoSpaceDE/>
      <w:adjustRightInd w:val="0"/>
      <w:spacing w:before="60"/>
      <w:ind w:firstLine="0"/>
      <w:textAlignment w:val="auto"/>
    </w:pPr>
    <w:rPr>
      <w:rFonts w:cs="Shruti"/>
      <w:sz w:val="22"/>
      <w:szCs w:val="24"/>
    </w:rPr>
  </w:style>
  <w:style w:type="character" w:customStyle="1" w:styleId="FootnoteTextChar">
    <w:name w:val="Footnote Text Char"/>
    <w:aliases w:val="Footnote Text (Gentium) Char"/>
    <w:basedOn w:val="DefaultParagraphFont"/>
    <w:link w:val="FootnoteText"/>
    <w:rsid w:val="00825299"/>
    <w:rPr>
      <w:rFonts w:cs="Shruti"/>
      <w:sz w:val="22"/>
      <w:lang w:val="en-GB"/>
    </w:rPr>
  </w:style>
  <w:style w:type="paragraph" w:styleId="ListNumber">
    <w:name w:val="List Number"/>
    <w:basedOn w:val="List"/>
    <w:rsid w:val="00E0401F"/>
    <w:pPr>
      <w:tabs>
        <w:tab w:val="left" w:pos="2880"/>
        <w:tab w:val="right" w:pos="9000"/>
      </w:tabs>
      <w:suppressAutoHyphens/>
      <w:overflowPunct w:val="0"/>
      <w:autoSpaceDE w:val="0"/>
      <w:spacing w:after="120" w:line="288" w:lineRule="auto"/>
      <w:ind w:left="360" w:hanging="360"/>
      <w:contextualSpacing w:val="0"/>
      <w:textAlignment w:val="baseline"/>
    </w:pPr>
    <w:rPr>
      <w:sz w:val="20"/>
      <w:szCs w:val="20"/>
    </w:rPr>
  </w:style>
  <w:style w:type="paragraph" w:styleId="List">
    <w:name w:val="List"/>
    <w:basedOn w:val="Normal"/>
    <w:uiPriority w:val="99"/>
    <w:semiHidden/>
    <w:unhideWhenUsed/>
    <w:rsid w:val="00E0401F"/>
    <w:pPr>
      <w:suppressAutoHyphens w:val="0"/>
      <w:overflowPunct/>
      <w:autoSpaceDE/>
      <w:ind w:left="283" w:hanging="283"/>
      <w:contextualSpacing/>
      <w:textAlignment w:val="auto"/>
    </w:pPr>
    <w:rPr>
      <w:szCs w:val="24"/>
    </w:rPr>
  </w:style>
  <w:style w:type="paragraph" w:styleId="Footer">
    <w:name w:val="footer"/>
    <w:basedOn w:val="Normal"/>
    <w:link w:val="FooterChar"/>
    <w:rsid w:val="003B2142"/>
    <w:pPr>
      <w:tabs>
        <w:tab w:val="center" w:pos="4320"/>
        <w:tab w:val="right" w:pos="8640"/>
      </w:tabs>
    </w:pPr>
    <w:rPr>
      <w:rFonts w:cs="Gentium"/>
    </w:rPr>
  </w:style>
  <w:style w:type="character" w:customStyle="1" w:styleId="FooterChar">
    <w:name w:val="Footer Char"/>
    <w:basedOn w:val="DefaultParagraphFont"/>
    <w:link w:val="Footer"/>
    <w:rsid w:val="003B2142"/>
    <w:rPr>
      <w:rFonts w:cs="Gentium"/>
      <w:color w:val="auto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Brockington</dc:creator>
  <cp:keywords/>
  <dc:description/>
  <cp:lastModifiedBy>John Brockington</cp:lastModifiedBy>
  <cp:revision>11</cp:revision>
  <dcterms:created xsi:type="dcterms:W3CDTF">2022-07-06T10:11:00Z</dcterms:created>
  <dcterms:modified xsi:type="dcterms:W3CDTF">2024-07-01T09:27:00Z</dcterms:modified>
</cp:coreProperties>
</file>